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7365D"/>
          <w:sz w:val="56"/>
        </w:rPr>
        <w:t>PROJETO NACIONAL DE GARANTIA DO ACESSO ESSENCIAL À SAÚDE</w:t>
      </w:r>
    </w:p>
    <w:p>
      <w:pPr>
        <w:jc w:val="center"/>
      </w:pPr>
      <w:r>
        <w:rPr>
          <w:b/>
          <w:color w:val="1F6D7A"/>
          <w:sz w:val="30"/>
        </w:rPr>
        <w:t>Documento-mestre de concepção e arquitetura da política pública</w:t>
      </w:r>
    </w:p>
    <w:p>
      <w:pPr>
        <w:spacing w:before="1000"/>
        <w:jc w:val="center"/>
      </w:pPr>
      <w:r>
        <w:rPr>
          <w:i/>
          <w:sz w:val="24"/>
        </w:rPr>
        <w:t>Direito reconhecido + prazo definido + responsável identificado + solução alternativa</w:t>
      </w:r>
    </w:p>
    <w:p>
      <w:pPr>
        <w:spacing w:before="2000"/>
        <w:jc w:val="center"/>
      </w:pPr>
      <w:r>
        <w:rPr>
          <w:color w:val="666666"/>
          <w:sz w:val="20"/>
        </w:rPr>
        <w:t>Versão preliminar 0.1 — julho de 2026</w:t>
      </w:r>
    </w:p>
    <w:p>
      <w:r>
        <w:br w:type="page"/>
      </w:r>
    </w:p>
    <w:p>
      <w:pPr>
        <w:pStyle w:val="Heading1"/>
      </w:pPr>
      <w:r>
        <w:t>Apresentação</w:t>
      </w:r>
    </w:p>
    <w:p>
      <w:r>
        <w:t>Este documento apresenta a arquitetura inicial de uma proposta legislativa nacional destinada a transformar o direito constitucional à saúde em garantias operacionais, verificáveis e exigíveis. A proposta não substitui o Sistema Único de Saúde nem reduz seus princípios; busca criar mecanismos para que a pessoa não permaneça indefinidamente em uma fila sem informação, prazo, responsável ou alternativa assistencial.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DCE6F1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7365D"/>
                <w:sz w:val="22"/>
              </w:rPr>
              <w:t>Tese central</w:t>
              <w:br/>
            </w:r>
            <w:r>
              <w:rPr>
                <w:sz w:val="21"/>
              </w:rPr>
              <w:t>O direito à saúde não pode terminar na porta da fila. Reconhecida a necessidade clínica, o Estado deverá registrar, classificar, informar, atender e, quando não conseguir cumprir o prazo, oferecer solução substitutiva.</w:t>
            </w:r>
          </w:p>
        </w:tc>
      </w:tr>
    </w:tbl>
    <w:p/>
    <w:p>
      <w:pPr>
        <w:pStyle w:val="Heading1"/>
      </w:pPr>
      <w:r>
        <w:t>1. Nome provisório</w:t>
      </w:r>
    </w:p>
    <w:p>
      <w:r>
        <w:t>Lei Nacional de Garantia do Acesso Essencial à Saúde — LNGAES. A lei poderá instituir o Sistema Nacional de Garantia do Acesso à Saúde — SINGAS e a Garantia Assistencial Mínima — GAM.</w:t>
      </w:r>
    </w:p>
    <w:p>
      <w:pPr>
        <w:pStyle w:val="Heading1"/>
      </w:pPr>
      <w:r>
        <w:t>2. Finalidade</w:t>
      </w:r>
    </w:p>
    <w:p>
      <w:r>
        <w:t>Assegurar que toda demanda de saúde reconhecida no SUS possua protocolo, classificação clínica, prazo aplicável, responsável pelo fluxo, mecanismo de acompanhamento e providência substitutiva em caso de descumprimento.</w:t>
      </w:r>
    </w:p>
    <w:p>
      <w:pPr>
        <w:pStyle w:val="Heading1"/>
      </w:pPr>
      <w:r>
        <w:t>3. Problema público</w:t>
      </w:r>
    </w:p>
    <w:p>
      <w:r>
        <w:t>O Brasil possui forte proteção normativa do direito à saúde, mas muitas garantias são formuladas em termos amplos. Na prática, o usuário pode ser inserido em uma fila sem previsão, ser transferido entre entes federativos, perder encaminhamentos, enfrentar falta de medicamentos ou depender de ação judicial para obter solução.</w:t>
      </w:r>
    </w:p>
    <w:p>
      <w:pPr>
        <w:pStyle w:val="Heading1"/>
      </w:pPr>
      <w:r>
        <w:t>4. Inovação institucional</w:t>
      </w:r>
    </w:p>
    <w:p>
      <w:r>
        <w:t>A proposta cria uma cadeia obrigatória de entrega: direito reconhecido, demanda registrada, prioridade clínica, prazo, responsável, rastreabilidade e alternativa. A lei não promete atendimento ilimitado ou sem avaliação técnica; ela impede a ausência indefinida de resposta.</w:t>
      </w:r>
    </w:p>
    <w:p>
      <w:pPr>
        <w:pStyle w:val="Heading1"/>
      </w:pPr>
      <w:r>
        <w:t>5. Princípios estruturantes</w:t>
      </w:r>
    </w:p>
    <w:p>
      <w:pPr>
        <w:pStyle w:val="ListBullet"/>
      </w:pPr>
      <w:r>
        <w:t>dignidade, universalidade, integralidade e equidade;</w:t>
      </w:r>
    </w:p>
    <w:p>
      <w:pPr>
        <w:pStyle w:val="ListBullet"/>
      </w:pPr>
      <w:r>
        <w:t>tempo clinicamente adequado;</w:t>
      </w:r>
    </w:p>
    <w:p>
      <w:pPr>
        <w:pStyle w:val="ListBullet"/>
      </w:pPr>
      <w:r>
        <w:t>transparência com proteção de dados;</w:t>
      </w:r>
    </w:p>
    <w:p>
      <w:pPr>
        <w:pStyle w:val="ListBullet"/>
      </w:pPr>
      <w:r>
        <w:t>continuidade do cuidado;</w:t>
      </w:r>
    </w:p>
    <w:p>
      <w:pPr>
        <w:pStyle w:val="ListBullet"/>
      </w:pPr>
      <w:r>
        <w:t>responsabilidade interfederativa sem transferência do conflito ao cidadão;</w:t>
      </w:r>
    </w:p>
    <w:p>
      <w:pPr>
        <w:pStyle w:val="ListBullet"/>
      </w:pPr>
      <w:r>
        <w:t>prioridade clínica baseada em risco;</w:t>
      </w:r>
    </w:p>
    <w:p>
      <w:pPr>
        <w:pStyle w:val="ListBullet"/>
      </w:pPr>
      <w:r>
        <w:t>gestão baseada em evidências;</w:t>
      </w:r>
    </w:p>
    <w:p>
      <w:pPr>
        <w:pStyle w:val="ListBullet"/>
      </w:pPr>
      <w:r>
        <w:t>solução administrativa antes da judicialização;</w:t>
      </w:r>
    </w:p>
    <w:p>
      <w:pPr>
        <w:pStyle w:val="ListBullet"/>
      </w:pPr>
      <w:r>
        <w:t>proporcionalidade na responsabilização;</w:t>
      </w:r>
    </w:p>
    <w:p>
      <w:pPr>
        <w:pStyle w:val="ListBullet"/>
      </w:pPr>
      <w:r>
        <w:t>proteção dos profissionais contra culpa por falhas exclusivamente estruturais.</w:t>
      </w:r>
    </w:p>
    <w:p>
      <w:pPr>
        <w:pStyle w:val="Heading1"/>
      </w:pPr>
      <w:r>
        <w:t>6. Garantia Assistencial Mínima — GAM</w:t>
      </w:r>
    </w:p>
    <w:p>
      <w:r>
        <w:t>A GAM será o núcleo essencial de ações e serviços cuja disponibilidade e entrega deverão ser mensuradas nacionalmente. Sua composição será atualizada por critérios técnicos, epidemiológicos e orçamentários, sem permitir redução arbitrária de direitos já incorporados ao SUS.</w:t>
      </w:r>
    </w:p>
    <w:p>
      <w:pPr>
        <w:pStyle w:val="ListBullet"/>
      </w:pPr>
      <w:r>
        <w:t>atenção primária e acompanhamento longitudinal;</w:t>
      </w:r>
    </w:p>
    <w:p>
      <w:pPr>
        <w:pStyle w:val="ListBullet"/>
      </w:pPr>
      <w:r>
        <w:t>vacinação e prevenção;</w:t>
      </w:r>
    </w:p>
    <w:p>
      <w:pPr>
        <w:pStyle w:val="ListBullet"/>
      </w:pPr>
      <w:r>
        <w:t>saúde materna e infantil;</w:t>
      </w:r>
    </w:p>
    <w:p>
      <w:pPr>
        <w:pStyle w:val="ListBullet"/>
      </w:pPr>
      <w:r>
        <w:t>saúde bucal essencial;</w:t>
      </w:r>
    </w:p>
    <w:p>
      <w:pPr>
        <w:pStyle w:val="ListBullet"/>
      </w:pPr>
      <w:r>
        <w:t>saúde mental;</w:t>
      </w:r>
    </w:p>
    <w:p>
      <w:pPr>
        <w:pStyle w:val="ListBullet"/>
      </w:pPr>
      <w:r>
        <w:t>medicamentos e insumos padronizados;</w:t>
      </w:r>
    </w:p>
    <w:p>
      <w:pPr>
        <w:pStyle w:val="ListBullet"/>
      </w:pPr>
      <w:r>
        <w:t>diagnóstico e exames essenciais;</w:t>
      </w:r>
    </w:p>
    <w:p>
      <w:pPr>
        <w:pStyle w:val="ListBullet"/>
      </w:pPr>
      <w:r>
        <w:t>consultas especializadas;</w:t>
      </w:r>
    </w:p>
    <w:p>
      <w:pPr>
        <w:pStyle w:val="ListBullet"/>
      </w:pPr>
      <w:r>
        <w:t>procedimentos cirúrgicos necessários;</w:t>
      </w:r>
    </w:p>
    <w:p>
      <w:pPr>
        <w:pStyle w:val="ListBullet"/>
      </w:pPr>
      <w:r>
        <w:t>reabilitação, cuidados paliativos e transporte sanitário indispensável.</w:t>
      </w:r>
    </w:p>
    <w:p>
      <w:pPr>
        <w:pStyle w:val="Heading1"/>
      </w:pPr>
      <w:r>
        <w:t>7. As sete garantias operacionais</w:t>
      </w:r>
    </w:p>
    <w:p>
      <w:r>
        <w:rPr>
          <w:b/>
        </w:rPr>
        <w:t xml:space="preserve">1. Entrada: </w:t>
      </w:r>
      <w:r>
        <w:t>nenhuma ausência de vaga poderá impedir o registro formal da demanda.</w:t>
      </w:r>
    </w:p>
    <w:p>
      <w:r>
        <w:rPr>
          <w:b/>
        </w:rPr>
        <w:t xml:space="preserve">2. Avaliação: </w:t>
      </w:r>
      <w:r>
        <w:t>a necessidade será classificada por risco, agravamento e prazo clínico.</w:t>
      </w:r>
    </w:p>
    <w:p>
      <w:r>
        <w:rPr>
          <w:b/>
        </w:rPr>
        <w:t xml:space="preserve">3. Informação: </w:t>
      </w:r>
      <w:r>
        <w:t>o usuário conhecerá protocolo, situação, documentos pendentes, unidade e previsão.</w:t>
      </w:r>
    </w:p>
    <w:p>
      <w:r>
        <w:rPr>
          <w:b/>
        </w:rPr>
        <w:t xml:space="preserve">4. Prazo: </w:t>
      </w:r>
      <w:r>
        <w:t>haverá parâmetros nacionais graduados por risco e complexidade.</w:t>
      </w:r>
    </w:p>
    <w:p>
      <w:r>
        <w:rPr>
          <w:b/>
        </w:rPr>
        <w:t xml:space="preserve">5. Continuidade: </w:t>
      </w:r>
      <w:r>
        <w:t>trocas de sistema, prestador ou gestão não apagarão o histórico.</w:t>
      </w:r>
    </w:p>
    <w:p>
      <w:r>
        <w:rPr>
          <w:b/>
        </w:rPr>
        <w:t xml:space="preserve">6. Substituição: </w:t>
      </w:r>
      <w:r>
        <w:t>vencido o prazo, a rede buscará outra unidade, região ou prestador complementar.</w:t>
      </w:r>
    </w:p>
    <w:p>
      <w:r>
        <w:rPr>
          <w:b/>
        </w:rPr>
        <w:t xml:space="preserve">7. Resposta administrativa: </w:t>
      </w:r>
      <w:r>
        <w:t>a violação poderá ser reclamada por procedimento simples, com prazo e recurso.</w:t>
      </w:r>
    </w:p>
    <w:p>
      <w:pPr>
        <w:pStyle w:val="Heading1"/>
      </w:pPr>
      <w:r>
        <w:t>8. Fila nacionalmente rastreável</w:t>
      </w:r>
    </w:p>
    <w:p>
      <w:r>
        <w:t>A fila deverá registrar data de ingresso, prioridade, procedimento, prazo, unidade reguladora, histórico de alterações, tentativas de contato, suspensão, atendimento e encerramento. A posição numérica poderá ser apresentada como faixa quando a ordem variar legitimamente por critérios clínicos.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DCE6F1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7365D"/>
                <w:sz w:val="22"/>
              </w:rPr>
              <w:t>Regra de integridade</w:t>
              <w:br/>
            </w:r>
            <w:r>
              <w:rPr>
                <w:sz w:val="21"/>
              </w:rPr>
              <w:t>Será vedada a exclusão silenciosa, a alteração de prioridade sem registro, a reinicialização injustificada da contagem, a manutenção de listas paralelas e o registro fictício de atendimento.</w:t>
            </w:r>
          </w:p>
        </w:tc>
      </w:tr>
    </w:tbl>
    <w:p/>
    <w:p>
      <w:pPr>
        <w:pStyle w:val="Heading1"/>
      </w:pPr>
      <w:r>
        <w:t>9. Solução substitutiva</w:t>
      </w:r>
    </w:p>
    <w:p>
      <w:pPr>
        <w:pStyle w:val="ListNumber"/>
      </w:pPr>
      <w:r>
        <w:t>buscar vaga na própria rede;</w:t>
      </w:r>
    </w:p>
    <w:p>
      <w:pPr>
        <w:pStyle w:val="ListNumber"/>
      </w:pPr>
      <w:r>
        <w:t>buscar outra unidade pública da região;</w:t>
      </w:r>
    </w:p>
    <w:p>
      <w:pPr>
        <w:pStyle w:val="ListNumber"/>
      </w:pPr>
      <w:r>
        <w:t>articular atendimento em outro município ou estado;</w:t>
      </w:r>
    </w:p>
    <w:p>
      <w:pPr>
        <w:pStyle w:val="ListNumber"/>
      </w:pPr>
      <w:r>
        <w:t>utilizar estabelecimento filantrópico, conveniado ou contratado;</w:t>
      </w:r>
    </w:p>
    <w:p>
      <w:pPr>
        <w:pStyle w:val="ListNumber"/>
      </w:pPr>
      <w:r>
        <w:t>empregar capacidade privada complementar quando necessária;</w:t>
      </w:r>
    </w:p>
    <w:p>
      <w:pPr>
        <w:pStyle w:val="ListNumber"/>
      </w:pPr>
      <w:r>
        <w:t>garantir transporte sanitário e apoio indispensável.</w:t>
      </w:r>
    </w:p>
    <w:p>
      <w:pPr>
        <w:pStyle w:val="Heading1"/>
      </w:pPr>
      <w:r>
        <w:t>10. Medicamentos e insumos</w:t>
      </w:r>
    </w:p>
    <w:p>
      <w:r>
        <w:t>A falta de medicamento padronizado deverá gerar consulta a outros estoques, previsão de reposição, remanejamento, avaliação de substituição terapêutica segura e, nos casos de risco relevante, providência emergencial. A declaração de falta, isoladamente, não será considerada solução.</w:t>
      </w:r>
    </w:p>
    <w:p>
      <w:pPr>
        <w:pStyle w:val="Heading1"/>
      </w:pPr>
      <w:r>
        <w:t>11. Transparência e indicadores</w:t>
      </w:r>
    </w:p>
    <w:p>
      <w:r>
        <w:t>O painel nacional deverá exibir demanda, novos pedidos, atendimentos, tempo médio, mediano e máximo, pessoas acima do prazo, cancelamentos por usuário e pelo serviço, capacidade instalada, medicamentos indisponíveis e planos de correção. A média isolada não será suficiente.</w:t>
      </w:r>
    </w:p>
    <w:p>
      <w:pPr>
        <w:pStyle w:val="Heading1"/>
      </w:pPr>
      <w:r>
        <w:t>12. Índice Nacional de Garantia da Saúde — INGS</w:t>
      </w:r>
    </w:p>
    <w:p>
      <w:pPr>
        <w:pStyle w:val="ListBullet"/>
      </w:pPr>
      <w:r>
        <w:t>acesso à atenção primária;</w:t>
      </w:r>
    </w:p>
    <w:p>
      <w:pPr>
        <w:pStyle w:val="ListBullet"/>
      </w:pPr>
      <w:r>
        <w:t>cumprimento de prazos;</w:t>
      </w:r>
    </w:p>
    <w:p>
      <w:pPr>
        <w:pStyle w:val="ListBullet"/>
      </w:pPr>
      <w:r>
        <w:t>disponibilidade de medicamentos;</w:t>
      </w:r>
    </w:p>
    <w:p>
      <w:pPr>
        <w:pStyle w:val="ListBullet"/>
      </w:pPr>
      <w:r>
        <w:t>continuidade terapêutica;</w:t>
      </w:r>
    </w:p>
    <w:p>
      <w:pPr>
        <w:pStyle w:val="ListBullet"/>
      </w:pPr>
      <w:r>
        <w:t>resolutividade;</w:t>
      </w:r>
    </w:p>
    <w:p>
      <w:pPr>
        <w:pStyle w:val="ListBullet"/>
      </w:pPr>
      <w:r>
        <w:t>segurança do paciente;</w:t>
      </w:r>
    </w:p>
    <w:p>
      <w:pPr>
        <w:pStyle w:val="ListBullet"/>
      </w:pPr>
      <w:r>
        <w:t>transparência e qualidade dos registros;</w:t>
      </w:r>
    </w:p>
    <w:p>
      <w:pPr>
        <w:pStyle w:val="ListBullet"/>
      </w:pPr>
      <w:r>
        <w:t>desigualdades territoriais;</w:t>
      </w:r>
    </w:p>
    <w:p>
      <w:pPr>
        <w:pStyle w:val="ListBullet"/>
      </w:pPr>
      <w:r>
        <w:t>satisfação dos usuários;</w:t>
      </w:r>
    </w:p>
    <w:p>
      <w:pPr>
        <w:pStyle w:val="ListBullet"/>
      </w:pPr>
      <w:r>
        <w:t>mortalidade evitável e outros resultados ajustados ao contexto.</w:t>
      </w:r>
    </w:p>
    <w:p>
      <w:pPr>
        <w:pStyle w:val="Heading1"/>
      </w:pPr>
      <w:r>
        <w:t>13. Responsabilidade e proteção institucional</w:t>
      </w:r>
    </w:p>
    <w:p>
      <w:r>
        <w:t>A resposta estatal deverá distinguir deficiência estrutural, evento imprevisível, omissão administrativa, fraude, manipulação de fila, favorecimento e desvio de recursos. A regra será correção assistida e plano de adequação; sanções pessoais dependerão de conduta própria, dolo, fraude, culpa grave ou omissão qualificada.</w:t>
      </w:r>
    </w:p>
    <w:p>
      <w:pPr>
        <w:pStyle w:val="Heading1"/>
      </w:pPr>
      <w:r>
        <w:t>14. Implementação por fases</w:t>
      </w:r>
    </w:p>
    <w:p>
      <w:pPr>
        <w:pStyle w:val="ListNumber"/>
      </w:pPr>
      <w:r>
        <w:t>padronização mínima de registro, protocolo e transparência;</w:t>
      </w:r>
    </w:p>
    <w:p>
      <w:pPr>
        <w:pStyle w:val="ListNumber"/>
      </w:pPr>
      <w:r>
        <w:t>definição progressiva dos prazos e integração regional;</w:t>
      </w:r>
    </w:p>
    <w:p>
      <w:pPr>
        <w:pStyle w:val="ListNumber"/>
      </w:pPr>
      <w:r>
        <w:t>ativação da garantia substitutiva e auditoria;</w:t>
      </w:r>
    </w:p>
    <w:p>
      <w:pPr>
        <w:pStyle w:val="ListNumber"/>
      </w:pPr>
      <w:r>
        <w:t>implantação completa do INGS e avaliação periódica.</w:t>
      </w:r>
    </w:p>
    <w:p>
      <w:pPr>
        <w:pStyle w:val="Heading1"/>
      </w:pPr>
      <w:r>
        <w:t>15. Produtos do projeto</w:t>
      </w:r>
    </w:p>
    <w:p>
      <w:pPr>
        <w:pStyle w:val="ListBullet"/>
      </w:pPr>
      <w:r>
        <w:t>anteprojeto de lei;</w:t>
      </w:r>
    </w:p>
    <w:p>
      <w:pPr>
        <w:pStyle w:val="ListBullet"/>
      </w:pPr>
      <w:r>
        <w:t>exposição de motivos;</w:t>
      </w:r>
    </w:p>
    <w:p>
      <w:pPr>
        <w:pStyle w:val="ListBullet"/>
      </w:pPr>
      <w:r>
        <w:t>diagnóstico jurídico e operacional;</w:t>
      </w:r>
    </w:p>
    <w:p>
      <w:pPr>
        <w:pStyle w:val="ListBullet"/>
      </w:pPr>
      <w:r>
        <w:t>matriz comparativa;</w:t>
      </w:r>
    </w:p>
    <w:p>
      <w:pPr>
        <w:pStyle w:val="ListBullet"/>
      </w:pPr>
      <w:r>
        <w:t>estudo de constitucionalidade;</w:t>
      </w:r>
    </w:p>
    <w:p>
      <w:pPr>
        <w:pStyle w:val="ListBullet"/>
      </w:pPr>
      <w:r>
        <w:t>estudo de impacto orçamentário;</w:t>
      </w:r>
    </w:p>
    <w:p>
      <w:pPr>
        <w:pStyle w:val="ListBullet"/>
      </w:pPr>
      <w:r>
        <w:t>regulamento técnico dos prazos;</w:t>
      </w:r>
    </w:p>
    <w:p>
      <w:pPr>
        <w:pStyle w:val="ListBullet"/>
      </w:pPr>
      <w:r>
        <w:t>modelo de filas e painel;</w:t>
      </w:r>
    </w:p>
    <w:p>
      <w:pPr>
        <w:pStyle w:val="ListBullet"/>
      </w:pPr>
      <w:r>
        <w:t>manual do cidadão;</w:t>
      </w:r>
    </w:p>
    <w:p>
      <w:pPr>
        <w:pStyle w:val="ListBullet"/>
      </w:pPr>
      <w:r>
        <w:t>perguntas frequentes;</w:t>
      </w:r>
    </w:p>
    <w:p>
      <w:pPr>
        <w:pStyle w:val="ListBullet"/>
      </w:pPr>
      <w:r>
        <w:t>texto para o Senado;</w:t>
      </w:r>
    </w:p>
    <w:p>
      <w:pPr>
        <w:pStyle w:val="ListBullet"/>
      </w:pPr>
      <w:r>
        <w:t>site público e documentação técnica.</w:t>
      </w:r>
    </w:p>
    <w:p>
      <w:r>
        <w:br w:type="page"/>
      </w:r>
    </w:p>
    <w:p>
      <w:pPr>
        <w:pStyle w:val="Heading1"/>
      </w:pPr>
      <w:r>
        <w:t>Referências normativas e institucionais</w:t>
      </w:r>
    </w:p>
    <w:p>
      <w:pPr>
        <w:pStyle w:val="ListBullet"/>
      </w:pPr>
      <w:hyperlink r:id="rId11">
        <w:r>
          <w:rPr>
            <w:color w:val="0563C1"/>
            <w:u w:val="single"/>
          </w:rPr>
          <w:t>Constituição da República Federativa do Brasil de 1988</w:t>
        </w:r>
      </w:hyperlink>
    </w:p>
    <w:p>
      <w:pPr>
        <w:pStyle w:val="ListBullet"/>
      </w:pPr>
      <w:hyperlink r:id="rId12">
        <w:r>
          <w:rPr>
            <w:color w:val="0563C1"/>
            <w:u w:val="single"/>
          </w:rPr>
          <w:t>Lei nº 8.080, de 19 de setembro de 1990 — Lei Orgânica da Saúde</w:t>
        </w:r>
      </w:hyperlink>
    </w:p>
    <w:p>
      <w:pPr>
        <w:pStyle w:val="ListBullet"/>
      </w:pPr>
      <w:hyperlink r:id="rId13">
        <w:r>
          <w:rPr>
            <w:color w:val="0563C1"/>
            <w:u w:val="single"/>
          </w:rPr>
          <w:t>Decreto nº 7.508, de 28 de junho de 2011</w:t>
        </w:r>
      </w:hyperlink>
    </w:p>
    <w:p>
      <w:pPr>
        <w:pStyle w:val="ListBullet"/>
      </w:pPr>
      <w:hyperlink r:id="rId14">
        <w:r>
          <w:rPr>
            <w:color w:val="0563C1"/>
            <w:u w:val="single"/>
          </w:rPr>
          <w:t>Lei nº 12.732, de 22 de novembro de 2012 — prazos na atenção oncológica</w:t>
        </w:r>
      </w:hyperlink>
    </w:p>
    <w:p>
      <w:pPr>
        <w:pStyle w:val="ListBullet"/>
      </w:pPr>
      <w:hyperlink r:id="rId15">
        <w:r>
          <w:rPr>
            <w:color w:val="0563C1"/>
            <w:u w:val="single"/>
          </w:rPr>
          <w:t>Lei nº 15.233, de 7 de outubro de 2025 — Programa Agora Tem Especialistas</w:t>
        </w:r>
      </w:hyperlink>
    </w:p>
    <w:p>
      <w:pPr>
        <w:pStyle w:val="ListBullet"/>
      </w:pPr>
      <w:hyperlink r:id="rId16">
        <w:r>
          <w:rPr>
            <w:color w:val="0563C1"/>
            <w:u w:val="single"/>
          </w:rPr>
          <w:t>Lei nº 15.378, de 6 de abril de 2026 — Estatuto dos Direitos do Paciente</w:t>
        </w:r>
      </w:hyperlink>
    </w:p>
    <w:p>
      <w:r>
        <w:rPr>
          <w:b/>
        </w:rPr>
        <w:t xml:space="preserve">Nota técnica: </w:t>
      </w:r>
      <w:r>
        <w:t>o texto é uma proposta preliminar de iniciativa cidadã e deverá passar por revisão jurídica legislativa, análise de impacto orçamentário e adequação à técnica legislativa antes de sua apresentação formal.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666666"/>
        <w:sz w:val="16"/>
      </w:rPr>
      <w:t>PROJETO NACIONAL DE GARANTIA DO ACESSO ESSENCIAL À SAÚDE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F6D7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/>
      <w:b/>
      <w:i/>
      <w:iCs/>
      <w:color w:val="1F6D7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go">
    <w:name w:val="Artigo"/>
    <w:pPr>
      <w:spacing w:before="160" w:after="60"/>
    </w:pPr>
    <w:rPr>
      <w:rFonts w:ascii="Aptos" w:hAnsi="Aptos"/>
      <w:b/>
      <w:color w:val="17365D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planalto.gov.br/ccivil_03/constituicao/constituicao.htm" TargetMode="External"/><Relationship Id="rId12" Type="http://schemas.openxmlformats.org/officeDocument/2006/relationships/hyperlink" Target="https://www.planalto.gov.br/ccivil_03/leis/l8080.htm" TargetMode="External"/><Relationship Id="rId13" Type="http://schemas.openxmlformats.org/officeDocument/2006/relationships/hyperlink" Target="https://www.planalto.gov.br/ccivil_03/_ato2011-2014/2011/decreto/d7508.htm" TargetMode="External"/><Relationship Id="rId14" Type="http://schemas.openxmlformats.org/officeDocument/2006/relationships/hyperlink" Target="https://www.planalto.gov.br/ccivil_03/_ato2011-2014/2012/lei/l12732.htm" TargetMode="External"/><Relationship Id="rId15" Type="http://schemas.openxmlformats.org/officeDocument/2006/relationships/hyperlink" Target="https://www.planalto.gov.br/ccivil_03/_ato2023-2026/2025/lei/l15233.htm" TargetMode="External"/><Relationship Id="rId16" Type="http://schemas.openxmlformats.org/officeDocument/2006/relationships/hyperlink" Target="https://www.planalto.gov.br/ccivil_03/_ato2023-2026/2026/lei/l1537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