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7365D"/>
          <w:sz w:val="56"/>
        </w:rPr>
        <w:t>DIAGNÓSTICO DAS BRECHAS NA GARANTIA DO ACESSO À SAÚDE</w:t>
      </w:r>
    </w:p>
    <w:p>
      <w:pPr>
        <w:jc w:val="center"/>
      </w:pPr>
      <w:r>
        <w:rPr>
          <w:b/>
          <w:color w:val="1F6D7A"/>
          <w:sz w:val="30"/>
        </w:rPr>
        <w:t>Fundamentos para a elaboração do anteprojeto de lei</w:t>
      </w:r>
    </w:p>
    <w:p>
      <w:pPr>
        <w:spacing w:before="1000"/>
        <w:jc w:val="center"/>
      </w:pPr>
      <w:r>
        <w:rPr>
          <w:i/>
          <w:sz w:val="24"/>
        </w:rPr>
        <w:t>Direito reconhecido + prazo definido + responsável identificado + solução alternativa</w:t>
      </w:r>
    </w:p>
    <w:p>
      <w:pPr>
        <w:spacing w:before="2000"/>
        <w:jc w:val="center"/>
      </w:pPr>
      <w:r>
        <w:rPr>
          <w:color w:val="666666"/>
          <w:sz w:val="20"/>
        </w:rPr>
        <w:t>Versão preliminar 0.1 — julho de 2026</w:t>
      </w:r>
    </w:p>
    <w:p>
      <w:r>
        <w:br w:type="page"/>
      </w:r>
    </w:p>
    <w:p>
      <w:pPr>
        <w:pStyle w:val="Heading1"/>
      </w:pPr>
      <w:r>
        <w:t>Sumário executivo</w:t>
      </w:r>
    </w:p>
    <w:p>
      <w:r>
        <w:t>O arcabouço brasileiro já reconhece a saúde como direito fundamental, organiza o SUS e protege direitos dos pacientes. A principal lacuna encontra-se na passagem entre o direito abstrato e a entrega individual: faltam prazos gerais, rastreabilidade uniforme, obrigação de alternativa, definição clara de responsabilidade operacional e consequências graduadas para descumprimentos reiterados.</w:t>
      </w:r>
    </w:p>
    <w:p>
      <w:pPr>
        <w:pStyle w:val="Heading1"/>
      </w:pPr>
      <w:r>
        <w:t>Brecha 1 — direito amplo sem obrigação de entrega mensurável</w:t>
      </w:r>
    </w:p>
    <w:p>
      <w:r>
        <w:t>A Constituição e a Lei nº 8.080/1990 estabelecem o dever estatal e os princípios do SUS, mas não oferecem, para a maior parte dos serviços, uma cadeia nacional única de protocolo, prazo, responsável e solução substitutiva.</w:t>
      </w:r>
    </w:p>
    <w:p>
      <w:pPr>
        <w:pStyle w:val="Heading1"/>
      </w:pPr>
      <w:r>
        <w:t>Brecha 2 — “tempo oportuno” sem parâmetros gerais</w:t>
      </w:r>
    </w:p>
    <w:p>
      <w:r>
        <w:t>O Estatuto dos Direitos do Paciente assegura cuidados de qualidade no tempo oportuno. A expressão protege o usuário, mas sua execução depende de critérios complementares para distinguir espera aceitável de atraso violador.</w:t>
      </w:r>
    </w:p>
    <w:p>
      <w:pPr>
        <w:pStyle w:val="Heading1"/>
      </w:pPr>
      <w:r>
        <w:t>Brecha 3 — prazos legais fragmentados</w:t>
      </w:r>
    </w:p>
    <w:p>
      <w:r>
        <w:t>Há prazos específicos em áreas como oncologia, mas não existe regime nacional equivalente para a maioria das consultas, exames, cirurgias eletivas necessárias, reabilitação, saúde mental e medicamentos.</w:t>
      </w:r>
    </w:p>
    <w:p>
      <w:pPr>
        <w:pStyle w:val="Heading1"/>
      </w:pPr>
      <w:r>
        <w:t>Brecha 4 — fila sem rastreabilidade uniforme</w:t>
      </w:r>
    </w:p>
    <w:p>
      <w:r>
        <w:t>Sistemas locais podem adotar critérios e informações distintos. O usuário nem sempre recebe posição, faixa, prioridade, previsão, histórico ou justificativa de alteração.</w:t>
      </w:r>
    </w:p>
    <w:p>
      <w:pPr>
        <w:pStyle w:val="Heading1"/>
      </w:pPr>
      <w:r>
        <w:t>Brecha 5 — média que oculta extremos</w:t>
      </w:r>
    </w:p>
    <w:p>
      <w:r>
        <w:t>Indicadores médios podem melhorar enquanto grupos continuam aguardando por períodos excessivos. É necessário divulgar mediana, percentis, espera máxima e quantidade acima do prazo.</w:t>
      </w:r>
    </w:p>
    <w:p>
      <w:pPr>
        <w:pStyle w:val="Heading1"/>
      </w:pPr>
      <w:r>
        <w:t>Brecha 6 — conflito federativo transferido ao paciente</w:t>
      </w:r>
    </w:p>
    <w:p>
      <w:r>
        <w:t>O cidadão pode ser encaminhado entre município, estado e União sem que um agente acompanhe integralmente a demanda. A responsabilidade administrativa precisa ser contínua.</w:t>
      </w:r>
    </w:p>
    <w:p>
      <w:pPr>
        <w:pStyle w:val="Heading1"/>
      </w:pPr>
      <w:r>
        <w:t>Brecha 7 — prazo vencido sem consequência assistencial</w:t>
      </w:r>
    </w:p>
    <w:p>
      <w:r>
        <w:t>O descumprimento frequentemente gera nova reclamação, nova avaliação ou judicialização. A lei deve acionar automaticamente uma alternativa dentro da rede ampliada.</w:t>
      </w:r>
    </w:p>
    <w:p>
      <w:pPr>
        <w:pStyle w:val="Heading1"/>
      </w:pPr>
      <w:r>
        <w:t>Brecha 8 — falta de medicamento sem solução</w:t>
      </w:r>
    </w:p>
    <w:p>
      <w:r>
        <w:t>A indisponibilidade pode terminar em declaração de falta. É necessário obrigar consulta a estoques, remanejamento, previsão, substituição segura e medidas emergenciais nos casos de risco.</w:t>
      </w:r>
    </w:p>
    <w:p>
      <w:pPr>
        <w:pStyle w:val="Heading1"/>
      </w:pPr>
      <w:r>
        <w:t>Brecha 9 — cancelamentos e perda de posição</w:t>
      </w:r>
    </w:p>
    <w:p>
      <w:r>
        <w:t>Falhas de contato, troca de sistema, alteração contratual, mudança de gestão ou ausência documental podem eliminar pedidos sem preservação adequada do histórico.</w:t>
      </w:r>
    </w:p>
    <w:p>
      <w:pPr>
        <w:pStyle w:val="Heading1"/>
      </w:pPr>
      <w:r>
        <w:t>Brecha 10 — fiscalização tardia e pouco orientada à correção</w:t>
      </w:r>
    </w:p>
    <w:p>
      <w:r>
        <w:t>A fiscalização costuma atuar sobre contas, contratos e casos específicos. Falta um ciclo nacional de alerta, plano corretivo, apoio técnico, monitoramento e escalonamento.</w:t>
      </w:r>
    </w:p>
    <w:p>
      <w:pPr>
        <w:pStyle w:val="Heading1"/>
      </w:pPr>
      <w:r>
        <w:t>Brecha 11 — responsabilização mal calibrada</w:t>
      </w:r>
    </w:p>
    <w:p>
      <w:r>
        <w:t>Punir indiscriminadamente pode responsabilizar profissionais por falta de estrutura. Por outro lado, a ausência de consequência favorece fraude e ocultação. A lei deve distinguir causas e condutas.</w:t>
      </w:r>
    </w:p>
    <w:p>
      <w:pPr>
        <w:pStyle w:val="Heading1"/>
      </w:pPr>
      <w:r>
        <w:t>Brecha 12 — programas temporários não substituem garantia permanente</w:t>
      </w:r>
    </w:p>
    <w:p>
      <w:r>
        <w:t>Programas de ampliação da oferta são relevantes, mas podem ter vigência, financiamento e desenho variáveis. O direito operacional deve permanecer independentemente do programa governamental vigente.</w:t>
      </w:r>
    </w:p>
    <w:p>
      <w:pPr>
        <w:pStyle w:val="Heading1"/>
      </w:pPr>
      <w:r>
        <w:t>Brecha 13 — assimetria digital</w:t>
      </w:r>
    </w:p>
    <w:p>
      <w:r>
        <w:t>A digitalização pode melhorar o acesso, mas excluir pessoas sem internet, telefone, letramento digital ou documentação. Todo mecanismo eletrônico deverá ter alternativa presencial e acessível.</w:t>
      </w:r>
    </w:p>
    <w:p>
      <w:pPr>
        <w:pStyle w:val="Heading1"/>
      </w:pPr>
      <w:r>
        <w:t>Brecha 14 — baixa integração dos dados</w:t>
      </w:r>
    </w:p>
    <w:p>
      <w:r>
        <w:t>Sistemas incompatíveis dificultam acompanhar a jornada do paciente. A interoperabilidade mínima deve ser exigida sem impor uma única tecnologia a todos os entes.</w:t>
      </w:r>
    </w:p>
    <w:p>
      <w:pPr>
        <w:pStyle w:val="Heading1"/>
      </w:pPr>
      <w:r>
        <w:t>Brecha 15 — judicialização como porta de acesso</w:t>
      </w:r>
    </w:p>
    <w:p>
      <w:r>
        <w:t>Quando o procedimento administrativo não resolve, o cidadão busca a Justiça. A proposta deve criar uma via administrativa efetiva e documentada, preservando o acesso judicial.</w:t>
      </w:r>
    </w:p>
    <w:p>
      <w:pPr>
        <w:pStyle w:val="Heading1"/>
      </w:pPr>
      <w:r>
        <w:t>Matriz causa → efeito → resposta legislativa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7365D"/>
          </w:tcPr>
          <w:p>
            <w:r>
              <w:rPr>
                <w:b/>
                <w:color w:val="FFFFFF"/>
              </w:rPr>
              <w:t>Causa recorrente</w:t>
            </w:r>
          </w:p>
        </w:tc>
        <w:tc>
          <w:tcPr>
            <w:tcW w:type="dxa" w:w="3312"/>
            <w:shd w:fill="17365D"/>
          </w:tcPr>
          <w:p>
            <w:r>
              <w:rPr>
                <w:b/>
                <w:color w:val="FFFFFF"/>
              </w:rPr>
              <w:t>Efeito sobre o cidadão</w:t>
            </w:r>
          </w:p>
        </w:tc>
        <w:tc>
          <w:tcPr>
            <w:tcW w:type="dxa" w:w="3312"/>
            <w:shd w:fill="17365D"/>
          </w:tcPr>
          <w:p>
            <w:r>
              <w:rPr>
                <w:b/>
                <w:color w:val="FFFFFF"/>
              </w:rPr>
              <w:t>Resposta proposta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Ausência de prazo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espera indefinida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parâmetros nacionais por risco e serviço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Falta de integração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perda ou duplicidade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protocolo rastreável e interoperabilidade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Oferta insuficiente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fila prolongada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garantia substitutiva e capacidade regional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Informação incompleta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impossibilidade de acompanhamento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painel individual e transparência agregada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Conflito federativo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peregrinação administrativa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responsabilidade contínua da porta de entrada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Falta de medicamento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interrupção terapêutica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busca de estoque, remanejamento e contingência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Gestão deficiente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reincidência do problema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plano corretivo monitorado</w:t>
            </w:r>
          </w:p>
        </w:tc>
      </w:tr>
      <w:tr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Fraude ou favorecimento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violação da equidade</w:t>
            </w:r>
          </w:p>
        </w:tc>
        <w:tc>
          <w:tcPr>
            <w:tcW w:type="dxa" w:w="331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t>auditoria, rastreabilidade e sanções proporcionais</w:t>
            </w:r>
          </w:p>
        </w:tc>
      </w:tr>
    </w:tbl>
    <w:p>
      <w:pPr>
        <w:pStyle w:val="Heading1"/>
      </w:pPr>
      <w:r>
        <w:t>Critérios para não produzir uma lei inexequível</w:t>
      </w:r>
    </w:p>
    <w:p>
      <w:pPr>
        <w:pStyle w:val="ListBullet"/>
      </w:pPr>
      <w:r>
        <w:t>implantação gradual;</w:t>
      </w:r>
    </w:p>
    <w:p>
      <w:pPr>
        <w:pStyle w:val="ListBullet"/>
      </w:pPr>
      <w:r>
        <w:t>priorização dos serviços de maior risco;</w:t>
      </w:r>
    </w:p>
    <w:p>
      <w:pPr>
        <w:pStyle w:val="ListBullet"/>
      </w:pPr>
      <w:r>
        <w:t>prazos definidos tecnicamente, e não de forma arbitrária;</w:t>
      </w:r>
    </w:p>
    <w:p>
      <w:pPr>
        <w:pStyle w:val="ListBullet"/>
      </w:pPr>
      <w:r>
        <w:t>uso de estruturas existentes antes de criar órgãos;</w:t>
      </w:r>
    </w:p>
    <w:p>
      <w:pPr>
        <w:pStyle w:val="ListBullet"/>
      </w:pPr>
      <w:r>
        <w:t>integração regional e complementaridade;</w:t>
      </w:r>
    </w:p>
    <w:p>
      <w:pPr>
        <w:pStyle w:val="ListBullet"/>
      </w:pPr>
      <w:r>
        <w:t>estimativa de impacto financeiro;</w:t>
      </w:r>
    </w:p>
    <w:p>
      <w:pPr>
        <w:pStyle w:val="ListBullet"/>
      </w:pPr>
      <w:r>
        <w:t>tratamento diferenciado para pequenos municípios e áreas remotas;</w:t>
      </w:r>
    </w:p>
    <w:p>
      <w:pPr>
        <w:pStyle w:val="ListBullet"/>
      </w:pPr>
      <w:r>
        <w:t>alternativas presenciais para usuários sem acesso digital;</w:t>
      </w:r>
    </w:p>
    <w:p>
      <w:pPr>
        <w:pStyle w:val="ListBullet"/>
      </w:pPr>
      <w:r>
        <w:t>avaliação periódica e revisão dos parâmetros.</w:t>
      </w:r>
    </w:p>
    <w:p>
      <w:pPr>
        <w:pStyle w:val="Heading1"/>
      </w:pPr>
      <w:r>
        <w:t>Conclusão diagnóstica</w:t>
      </w:r>
    </w:p>
    <w:p>
      <w:r>
        <w:t>A proposta deve preencher uma lacuna específica: criar uma obrigação pública completa de entrega. Seu núcleo não será simplesmente declarar direitos, mas definir o percurso obrigatório entre a necessidade clínica e a solução, com dados auditáveis e reação automática quando o fluxo ordinário falhar.</w:t>
      </w:r>
    </w:p>
    <w:p>
      <w:r>
        <w:br w:type="page"/>
      </w:r>
    </w:p>
    <w:p>
      <w:pPr>
        <w:pStyle w:val="Heading1"/>
      </w:pPr>
      <w:r>
        <w:t>Referências normativas e institucionais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Constituição da República Federativa do Brasil de 1988</w:t>
        </w:r>
      </w:hyperlink>
    </w:p>
    <w:p>
      <w:pPr>
        <w:pStyle w:val="ListBullet"/>
      </w:pPr>
      <w:hyperlink r:id="rId12">
        <w:r>
          <w:rPr>
            <w:color w:val="0563C1"/>
            <w:u w:val="single"/>
          </w:rPr>
          <w:t>Lei nº 8.080, de 19 de setembro de 1990 — Lei Orgânica da Saúde</w:t>
        </w:r>
      </w:hyperlink>
    </w:p>
    <w:p>
      <w:pPr>
        <w:pStyle w:val="ListBullet"/>
      </w:pPr>
      <w:hyperlink r:id="rId13">
        <w:r>
          <w:rPr>
            <w:color w:val="0563C1"/>
            <w:u w:val="single"/>
          </w:rPr>
          <w:t>Decreto nº 7.508, de 28 de junho de 2011</w:t>
        </w:r>
      </w:hyperlink>
    </w:p>
    <w:p>
      <w:pPr>
        <w:pStyle w:val="ListBullet"/>
      </w:pPr>
      <w:hyperlink r:id="rId14">
        <w:r>
          <w:rPr>
            <w:color w:val="0563C1"/>
            <w:u w:val="single"/>
          </w:rPr>
          <w:t>Lei nº 12.732, de 22 de novembro de 2012 — prazos na atenção oncológica</w:t>
        </w:r>
      </w:hyperlink>
    </w:p>
    <w:p>
      <w:pPr>
        <w:pStyle w:val="ListBullet"/>
      </w:pPr>
      <w:hyperlink r:id="rId15">
        <w:r>
          <w:rPr>
            <w:color w:val="0563C1"/>
            <w:u w:val="single"/>
          </w:rPr>
          <w:t>Lei nº 15.233, de 7 de outubro de 2025 — Programa Agora Tem Especialistas</w:t>
        </w:r>
      </w:hyperlink>
    </w:p>
    <w:p>
      <w:pPr>
        <w:pStyle w:val="ListBullet"/>
      </w:pPr>
      <w:hyperlink r:id="rId16">
        <w:r>
          <w:rPr>
            <w:color w:val="0563C1"/>
            <w:u w:val="single"/>
          </w:rPr>
          <w:t>Lei nº 15.378, de 6 de abril de 2026 — Estatuto dos Direitos do Paciente</w:t>
        </w:r>
      </w:hyperlink>
    </w:p>
    <w:p>
      <w:r>
        <w:rPr>
          <w:b/>
        </w:rPr>
        <w:t xml:space="preserve">Nota técnica: </w:t>
      </w:r>
      <w:r>
        <w:t>o texto é uma proposta preliminar de iniciativa cidadã e deverá passar por revisão jurídica legislativa, análise de impacto orçamentário e adequação à técnica legislativa antes de sua apresentação formal.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666666"/>
        <w:sz w:val="16"/>
      </w:rPr>
      <w:t>PROJETO NACIONAL DE GARANTIA DO ACESSO ESSENCIAL À SAÚDE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b/>
      <w:i/>
      <w:iCs/>
      <w:color w:val="1F6D7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go">
    <w:name w:val="Artigo"/>
    <w:pPr>
      <w:spacing w:before="160" w:after="60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yperlink" Target="https://www.planalto.gov.br/ccivil_03/leis/l8080.htm" TargetMode="External"/><Relationship Id="rId13" Type="http://schemas.openxmlformats.org/officeDocument/2006/relationships/hyperlink" Target="https://www.planalto.gov.br/ccivil_03/_ato2011-2014/2011/decreto/d7508.htm" TargetMode="External"/><Relationship Id="rId14" Type="http://schemas.openxmlformats.org/officeDocument/2006/relationships/hyperlink" Target="https://www.planalto.gov.br/ccivil_03/_ato2011-2014/2012/lei/l12732.htm" TargetMode="External"/><Relationship Id="rId15" Type="http://schemas.openxmlformats.org/officeDocument/2006/relationships/hyperlink" Target="https://www.planalto.gov.br/ccivil_03/_ato2023-2026/2025/lei/l15233.htm" TargetMode="External"/><Relationship Id="rId16" Type="http://schemas.openxmlformats.org/officeDocument/2006/relationships/hyperlink" Target="https://www.planalto.gov.br/ccivil_03/_ato2023-2026/2026/lei/l1537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