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7365D"/>
          <w:sz w:val="56"/>
        </w:rPr>
        <w:t>ANTEPROJETO DE LEI</w:t>
      </w:r>
    </w:p>
    <w:p>
      <w:pPr>
        <w:jc w:val="center"/>
      </w:pPr>
      <w:r>
        <w:rPr>
          <w:b/>
          <w:color w:val="1F6D7A"/>
          <w:sz w:val="30"/>
        </w:rPr>
        <w:t>Lei Nacional de Garantia do Acesso Essencial à Saúde — versão preliminar para debate</w:t>
      </w:r>
    </w:p>
    <w:p>
      <w:pPr>
        <w:spacing w:before="1000"/>
        <w:jc w:val="center"/>
      </w:pPr>
      <w:r>
        <w:rPr>
          <w:i/>
          <w:sz w:val="24"/>
        </w:rPr>
        <w:t>Direito reconhecido + prazo definido + responsável identificado + solução alternativa</w:t>
      </w:r>
    </w:p>
    <w:p>
      <w:pPr>
        <w:spacing w:before="2000"/>
        <w:jc w:val="center"/>
      </w:pPr>
      <w:r>
        <w:rPr>
          <w:color w:val="666666"/>
          <w:sz w:val="20"/>
        </w:rPr>
        <w:t>Versão preliminar 0.1 — julho de 2026</w:t>
      </w:r>
    </w:p>
    <w:p>
      <w:r>
        <w:br w:type="page"/>
      </w:r>
    </w:p>
    <w:p>
      <w:r>
        <w:t>Institui normas gerais para a garantia do acesso oportuno, rastreável e contínuo às ações e aos serviços de saúde no âmbito do Sistema Único de Saúde; estabelece a Garantia Assistencial Mínima, parâmetros para filas e prazos, mecanismos de solução substitutiva, transparência e avaliação; e dá outras providências.</w:t>
      </w:r>
    </w:p>
    <w:p>
      <w:pPr>
        <w:pStyle w:val="Heading1"/>
      </w:pPr>
      <w:r>
        <w:t>TÍTULO I — DISPOSIÇÕES GERAIS</w:t>
      </w:r>
    </w:p>
    <w:p>
      <w:pPr>
        <w:pStyle w:val="Artigo"/>
      </w:pPr>
      <w:r>
        <w:t>Art. 1º Esta Lei estabelece normas gerais destinadas a assegurar acesso oportuno, rastreável, contínuo, equitativo e resolutivo às ações e aos serviços de saúde no âmbito do Sistema Único de Saúde — SUS.</w:t>
      </w:r>
    </w:p>
    <w:p>
      <w:pPr>
        <w:pStyle w:val="Artigo"/>
      </w:pPr>
      <w:r>
        <w:t>Art. 2º A garantia prevista nesta Lei observará os princípios constitucionais e legais do SUS e será orientada pela seguinte regra: nenhuma pessoa poderá permanecer sem resposta, sem prazo clinicamente justificável ou sem solução alternativa diante de necessidade de saúde reconhecida no âmbito do SUS.</w:t>
      </w:r>
    </w:p>
    <w:p>
      <w:pPr>
        <w:pStyle w:val="Artigo"/>
      </w:pPr>
      <w:r>
        <w:t>Art. 3º Para os fins desta Lei, considera-se:</w:t>
      </w:r>
    </w:p>
    <w:p>
      <w:pPr>
        <w:pStyle w:val="ListParagraph"/>
      </w:pPr>
      <w:r>
        <w:t>I – Garantia Assistencial Mínima — GAM: núcleo essencial de ações e serviços cuja entrega deverá ser assegurada e monitorada;</w:t>
      </w:r>
    </w:p>
    <w:p>
      <w:pPr>
        <w:pStyle w:val="ListParagraph"/>
      </w:pPr>
      <w:r>
        <w:t>II – demanda assistencial: necessidade de ação ou serviço de saúde registrada no SUS;</w:t>
      </w:r>
    </w:p>
    <w:p>
      <w:pPr>
        <w:pStyle w:val="ListParagraph"/>
      </w:pPr>
      <w:r>
        <w:t>III – prazo assistencial: tempo máximo aplicável segundo risco, necessidade, complexidade e possibilidade de agravamento;</w:t>
      </w:r>
    </w:p>
    <w:p>
      <w:pPr>
        <w:pStyle w:val="ListParagraph"/>
      </w:pPr>
      <w:r>
        <w:t>IV – solução substitutiva: providência adotada quando o serviço originalmente responsável não puder atender no prazo;</w:t>
      </w:r>
    </w:p>
    <w:p>
      <w:pPr>
        <w:pStyle w:val="ListParagraph"/>
      </w:pPr>
      <w:r>
        <w:t>V – fila rastreável: registro íntegro, auditável e atualizado da demanda;</w:t>
      </w:r>
    </w:p>
    <w:p>
      <w:pPr>
        <w:pStyle w:val="ListParagraph"/>
      </w:pPr>
      <w:r>
        <w:t>VI – porta de entrada responsável: unidade que recebe, registra e acompanha o encaminhamento até sua aceitação pelo fluxo competente;</w:t>
      </w:r>
    </w:p>
    <w:p>
      <w:pPr>
        <w:pStyle w:val="ListParagraph"/>
      </w:pPr>
      <w:r>
        <w:t>VII – evento de espera excessiva: situação em que o prazo aplicável é ultrapassado sem justificativa clínica ou administrativa legítima e sem providência alternativa.</w:t>
      </w:r>
    </w:p>
    <w:p>
      <w:pPr>
        <w:pStyle w:val="Artigo"/>
      </w:pPr>
      <w:r>
        <w:t>Art. 4º A aplicação desta Lei não autoriza a oferta de tratamento não reconhecido, não incorporado ou sem indicação clínica, ressalvadas as hipóteses previstas em legislação específica e as decisões fundamentadas das autoridades competentes.</w:t>
      </w:r>
    </w:p>
    <w:p>
      <w:pPr>
        <w:pStyle w:val="Heading1"/>
      </w:pPr>
      <w:r>
        <w:t>TÍTULO II — DOS DIREITOS E DAS GARANTIAS</w:t>
      </w:r>
    </w:p>
    <w:p>
      <w:pPr>
        <w:pStyle w:val="Artigo"/>
      </w:pPr>
      <w:r>
        <w:t>Art. 5º Toda demanda apresentada ao SUS deverá ser acolhida e, quando depender de atendimento posterior, registrada em sistema ou instrumento oficial, ainda que não haja vaga disponível no momento.</w:t>
      </w:r>
    </w:p>
    <w:p>
      <w:pPr>
        <w:pStyle w:val="Artigo"/>
      </w:pPr>
      <w:r>
        <w:t>Art. 6º O usuário receberá comprovante contendo, no mínimo:</w:t>
      </w:r>
    </w:p>
    <w:p>
      <w:pPr>
        <w:pStyle w:val="ListParagraph"/>
      </w:pPr>
      <w:r>
        <w:t>I – número de protocolo;</w:t>
      </w:r>
    </w:p>
    <w:p>
      <w:pPr>
        <w:pStyle w:val="ListParagraph"/>
      </w:pPr>
      <w:r>
        <w:t>II – data e hora do registro;</w:t>
      </w:r>
    </w:p>
    <w:p>
      <w:pPr>
        <w:pStyle w:val="ListParagraph"/>
      </w:pPr>
      <w:r>
        <w:t>III – descrição resumida da demanda;</w:t>
      </w:r>
    </w:p>
    <w:p>
      <w:pPr>
        <w:pStyle w:val="ListParagraph"/>
      </w:pPr>
      <w:r>
        <w:t>IV – unidade de origem;</w:t>
      </w:r>
    </w:p>
    <w:p>
      <w:pPr>
        <w:pStyle w:val="ListParagraph"/>
      </w:pPr>
      <w:r>
        <w:t>V – canal de acompanhamento;</w:t>
      </w:r>
    </w:p>
    <w:p>
      <w:pPr>
        <w:pStyle w:val="ListParagraph"/>
      </w:pPr>
      <w:r>
        <w:t>VI – informação sobre documentos ou providências pendentes.</w:t>
      </w:r>
    </w:p>
    <w:p>
      <w:pPr>
        <w:pStyle w:val="Artigo"/>
      </w:pPr>
      <w:r>
        <w:t>Art. 7º A demanda será avaliada por profissional ou equipe habilitada e classificada conforme risco, possibilidade de agravamento, perda funcional, dor, sofrimento, idade, deficiência, gestação, vulnerabilidade e continuidade terapêutica.</w:t>
      </w:r>
    </w:p>
    <w:p>
      <w:pPr>
        <w:pStyle w:val="Artigo"/>
      </w:pPr>
      <w:r>
        <w:t>Art. 8º O usuário terá direito a informação acessível, atualizada e compreensível sobre sua demanda, incluídos a prioridade, o prazo aplicável, a situação do encaminhamento, a unidade responsável, as alterações e os canais de reclamação.</w:t>
      </w:r>
    </w:p>
    <w:p>
      <w:pPr>
        <w:pStyle w:val="Artigo"/>
      </w:pPr>
      <w:r>
        <w:t>Art. 9º A inexistência momentânea de vaga, leito, profissional, equipamento, contrato ou medicamento não dispensa o registro da demanda nem o dever de informar e encaminhar.</w:t>
      </w:r>
    </w:p>
    <w:p>
      <w:pPr>
        <w:pStyle w:val="Artigo"/>
      </w:pPr>
      <w:r>
        <w:t>Art. 10º É assegurada a preservação do histórico da demanda, vedada sua perda por mudança de gestão, sistema, prestador, contrato, município de residência ou fluxo regulatório.</w:t>
      </w:r>
    </w:p>
    <w:p>
      <w:pPr>
        <w:pStyle w:val="Heading1"/>
      </w:pPr>
      <w:r>
        <w:t>TÍTULO III — DA GARANTIA ASSISTENCIAL MÍNIMA</w:t>
      </w:r>
    </w:p>
    <w:p>
      <w:pPr>
        <w:pStyle w:val="Artigo"/>
      </w:pPr>
      <w:r>
        <w:t>Art. 11º Fica instituída a Garantia Assistencial Mínima — GAM, constituída por ações e serviços essenciais cuja disponibilidade, acesso e entrega serão monitorados nacionalmente.</w:t>
      </w:r>
    </w:p>
    <w:p>
      <w:pPr>
        <w:pStyle w:val="Artigo"/>
      </w:pPr>
      <w:r>
        <w:t>Art. 12º A GAM compreenderá, progressivamente e sem prejuízo de direitos já assegurados:</w:t>
      </w:r>
    </w:p>
    <w:p>
      <w:pPr>
        <w:pStyle w:val="ListParagraph"/>
      </w:pPr>
      <w:r>
        <w:t>I – atenção primária e acompanhamento longitudinal;</w:t>
      </w:r>
    </w:p>
    <w:p>
      <w:pPr>
        <w:pStyle w:val="ListParagraph"/>
      </w:pPr>
      <w:r>
        <w:t>II – imunização e prevenção;</w:t>
      </w:r>
    </w:p>
    <w:p>
      <w:pPr>
        <w:pStyle w:val="ListParagraph"/>
      </w:pPr>
      <w:r>
        <w:t>III – saúde materna, neonatal, infantil e do adolescente;</w:t>
      </w:r>
    </w:p>
    <w:p>
      <w:pPr>
        <w:pStyle w:val="ListParagraph"/>
      </w:pPr>
      <w:r>
        <w:t>IV – saúde da pessoa idosa e da pessoa com deficiência;</w:t>
      </w:r>
    </w:p>
    <w:p>
      <w:pPr>
        <w:pStyle w:val="ListParagraph"/>
      </w:pPr>
      <w:r>
        <w:t>V – saúde bucal essencial;</w:t>
      </w:r>
    </w:p>
    <w:p>
      <w:pPr>
        <w:pStyle w:val="ListParagraph"/>
      </w:pPr>
      <w:r>
        <w:t>VI – saúde mental;</w:t>
      </w:r>
    </w:p>
    <w:p>
      <w:pPr>
        <w:pStyle w:val="ListParagraph"/>
      </w:pPr>
      <w:r>
        <w:t>VII – medicamentos, vacinas, insumos e tecnologias incorporados;</w:t>
      </w:r>
    </w:p>
    <w:p>
      <w:pPr>
        <w:pStyle w:val="ListParagraph"/>
      </w:pPr>
      <w:r>
        <w:t>VIII – diagnóstico e exames essenciais;</w:t>
      </w:r>
    </w:p>
    <w:p>
      <w:pPr>
        <w:pStyle w:val="ListParagraph"/>
      </w:pPr>
      <w:r>
        <w:t>IX – consultas especializadas;</w:t>
      </w:r>
    </w:p>
    <w:p>
      <w:pPr>
        <w:pStyle w:val="ListParagraph"/>
      </w:pPr>
      <w:r>
        <w:t>X – procedimentos cirúrgicos e terapêuticos necessários;</w:t>
      </w:r>
    </w:p>
    <w:p>
      <w:pPr>
        <w:pStyle w:val="ListParagraph"/>
      </w:pPr>
      <w:r>
        <w:t>XI – reabilitação, cuidados paliativos e assistência domiciliar quando indicada;</w:t>
      </w:r>
    </w:p>
    <w:p>
      <w:pPr>
        <w:pStyle w:val="ListParagraph"/>
      </w:pPr>
      <w:r>
        <w:t>XII – urgência, emergência e transporte sanitário indispensável.</w:t>
      </w:r>
    </w:p>
    <w:p>
      <w:pPr>
        <w:pStyle w:val="Artigo"/>
      </w:pPr>
      <w:r>
        <w:t>Art. 13º A composição e os parâmetros da GAM serão atualizados periodicamente com base em evidências científicas, perfil epidemiológico, avaliação de tecnologias, capacidade assistencial e sustentabilidade, vedada a redução arbitrária de direitos já incorporados.</w:t>
      </w:r>
    </w:p>
    <w:p>
      <w:pPr>
        <w:pStyle w:val="Artigo"/>
      </w:pPr>
      <w:r>
        <w:t>Art. 14º A regulamentação poderá estabelecer fases de implantação e prioridades nacionais, sem afastar o dever de atendimento nas hipóteses de risco grave ou urgência.</w:t>
      </w:r>
    </w:p>
    <w:p>
      <w:pPr>
        <w:pStyle w:val="Heading1"/>
      </w:pPr>
      <w:r>
        <w:t>TÍTULO IV — DOS PRAZOS ASSISTENCIAIS</w:t>
      </w:r>
    </w:p>
    <w:p>
      <w:pPr>
        <w:pStyle w:val="Artigo"/>
      </w:pPr>
      <w:r>
        <w:t>Art. 15º Os prazos assistenciais serão definidos por categorias de risco e por grupos de ações e serviços, observados critérios clínicos e territoriais.</w:t>
      </w:r>
    </w:p>
    <w:p>
      <w:pPr>
        <w:pStyle w:val="Artigo"/>
      </w:pPr>
      <w:r>
        <w:t>Art. 16º Os prazos funcionarão como limite de proteção e não como autorização para retardar atendimento disponível em momento anterior.</w:t>
      </w:r>
    </w:p>
    <w:p>
      <w:pPr>
        <w:pStyle w:val="Artigo"/>
      </w:pPr>
      <w:r>
        <w:t>Art. 17º A regulamentação estabelecerá metodologia pública para a definição e revisão dos prazos, com participação técnica, controle social e consulta pública.</w:t>
      </w:r>
    </w:p>
    <w:p>
      <w:pPr>
        <w:pStyle w:val="Artigo"/>
      </w:pPr>
      <w:r>
        <w:t>Art. 18º O prazo será contado a partir do momento em que a demanda estiver clinicamente caracterizada e documentalmente apta, ressalvados atrasos causados exclusivamente pelo serviço.</w:t>
      </w:r>
    </w:p>
    <w:p>
      <w:pPr>
        <w:pStyle w:val="Artigo"/>
      </w:pPr>
      <w:r>
        <w:t>Art. 19º A suspensão da contagem somente ocorrerá por motivo expressamente registrado, comunicado ao usuário e compatível com a segurança clínica.</w:t>
      </w:r>
    </w:p>
    <w:p>
      <w:pPr>
        <w:pStyle w:val="Artigo"/>
      </w:pPr>
      <w:r>
        <w:t>Art. 20º A reclassificação de prioridade deverá ser fundamentada e preservará o histórico anterior.</w:t>
      </w:r>
    </w:p>
    <w:p>
      <w:pPr>
        <w:pStyle w:val="Heading1"/>
      </w:pPr>
      <w:r>
        <w:t>TÍTULO V — DAS FILAS E DA RASTREABILIDADE</w:t>
      </w:r>
    </w:p>
    <w:p>
      <w:pPr>
        <w:pStyle w:val="Artigo"/>
      </w:pPr>
      <w:r>
        <w:t>Art. 21º Toda fila de acesso regulado deverá manter registro individual e trilha de auditoria.</w:t>
      </w:r>
    </w:p>
    <w:p>
      <w:pPr>
        <w:pStyle w:val="Artigo"/>
      </w:pPr>
      <w:r>
        <w:t>Art. 22º O registro conterá, no mínimo:</w:t>
      </w:r>
    </w:p>
    <w:p>
      <w:pPr>
        <w:pStyle w:val="ListParagraph"/>
      </w:pPr>
      <w:r>
        <w:t>I – data de ingresso;</w:t>
      </w:r>
    </w:p>
    <w:p>
      <w:pPr>
        <w:pStyle w:val="ListParagraph"/>
      </w:pPr>
      <w:r>
        <w:t>II – serviço solicitado;</w:t>
      </w:r>
    </w:p>
    <w:p>
      <w:pPr>
        <w:pStyle w:val="ListParagraph"/>
      </w:pPr>
      <w:r>
        <w:t>III – classificação de prioridade;</w:t>
      </w:r>
    </w:p>
    <w:p>
      <w:pPr>
        <w:pStyle w:val="ListParagraph"/>
      </w:pPr>
      <w:r>
        <w:t>IV – prazo aplicável;</w:t>
      </w:r>
    </w:p>
    <w:p>
      <w:pPr>
        <w:pStyle w:val="ListParagraph"/>
      </w:pPr>
      <w:r>
        <w:t>V – unidade reguladora;</w:t>
      </w:r>
    </w:p>
    <w:p>
      <w:pPr>
        <w:pStyle w:val="ListParagraph"/>
      </w:pPr>
      <w:r>
        <w:t>VI – histórico de movimentações;</w:t>
      </w:r>
    </w:p>
    <w:p>
      <w:pPr>
        <w:pStyle w:val="ListParagraph"/>
      </w:pPr>
      <w:r>
        <w:t>VII – tentativas de contato;</w:t>
      </w:r>
    </w:p>
    <w:p>
      <w:pPr>
        <w:pStyle w:val="ListParagraph"/>
      </w:pPr>
      <w:r>
        <w:t>VIII – suspensões e respectivas justificativas;</w:t>
      </w:r>
    </w:p>
    <w:p>
      <w:pPr>
        <w:pStyle w:val="ListParagraph"/>
      </w:pPr>
      <w:r>
        <w:t>IX – atendimento, transferência, desistência ou encerramento.</w:t>
      </w:r>
    </w:p>
    <w:p>
      <w:pPr>
        <w:pStyle w:val="Artigo"/>
      </w:pPr>
      <w:r>
        <w:t>Art. 23º É vedado:</w:t>
      </w:r>
    </w:p>
    <w:p>
      <w:pPr>
        <w:pStyle w:val="ListParagraph"/>
      </w:pPr>
      <w:r>
        <w:t>I – excluir demanda sem justificativa e comunicação;</w:t>
      </w:r>
    </w:p>
    <w:p>
      <w:pPr>
        <w:pStyle w:val="ListParagraph"/>
      </w:pPr>
      <w:r>
        <w:t>II – reiniciar prazo sem fundamento;</w:t>
      </w:r>
    </w:p>
    <w:p>
      <w:pPr>
        <w:pStyle w:val="ListParagraph"/>
      </w:pPr>
      <w:r>
        <w:t>III – alterar prioridade sem registro;</w:t>
      </w:r>
    </w:p>
    <w:p>
      <w:pPr>
        <w:pStyle w:val="ListParagraph"/>
      </w:pPr>
      <w:r>
        <w:t>IV – manter lista paralela não auditável;</w:t>
      </w:r>
    </w:p>
    <w:p>
      <w:pPr>
        <w:pStyle w:val="ListParagraph"/>
      </w:pPr>
      <w:r>
        <w:t>V – registrar como atendida pessoa que não recebeu o serviço;</w:t>
      </w:r>
    </w:p>
    <w:p>
      <w:pPr>
        <w:pStyle w:val="ListParagraph"/>
      </w:pPr>
      <w:r>
        <w:t>VI – cancelar demanda por falha exclusiva da administração;</w:t>
      </w:r>
    </w:p>
    <w:p>
      <w:pPr>
        <w:pStyle w:val="ListParagraph"/>
      </w:pPr>
      <w:r>
        <w:t>VII – ocultar demanda reprimida ou paciente acima do prazo.</w:t>
      </w:r>
    </w:p>
    <w:p>
      <w:pPr>
        <w:pStyle w:val="Artigo"/>
      </w:pPr>
      <w:r>
        <w:t>Art. 24º A informação individual poderá apresentar posição ou faixa aproximada, número de pessoas na mesma categoria, previsão, tempo mediano e quantidade acima do prazo, preservada a prioridade clínica.</w:t>
      </w:r>
    </w:p>
    <w:p>
      <w:pPr>
        <w:pStyle w:val="Artigo"/>
      </w:pPr>
      <w:r>
        <w:t>Art. 25º O sistema deverá permitir correção de erro material e contestação da situação da demanda.</w:t>
      </w:r>
    </w:p>
    <w:p>
      <w:pPr>
        <w:pStyle w:val="Heading1"/>
      </w:pPr>
      <w:r>
        <w:t>TÍTULO VI — DA GARANTIA SUBSTITUTIVA</w:t>
      </w:r>
    </w:p>
    <w:p>
      <w:pPr>
        <w:pStyle w:val="Artigo"/>
      </w:pPr>
      <w:r>
        <w:t>Art. 26º Ultrapassado o prazo assistencial sem justificativa legítima, deverá ser iniciada solução substitutiva, independentemente de novo pedido do usuário.</w:t>
      </w:r>
    </w:p>
    <w:p>
      <w:pPr>
        <w:pStyle w:val="Artigo"/>
      </w:pPr>
      <w:r>
        <w:t>Art. 27º A solução substitutiva observará, preferencialmente, a seguinte sequência:</w:t>
      </w:r>
    </w:p>
    <w:p>
      <w:pPr>
        <w:pStyle w:val="ListParagraph"/>
      </w:pPr>
      <w:r>
        <w:t>I – outra agenda ou unidade da mesma rede;</w:t>
      </w:r>
    </w:p>
    <w:p>
      <w:pPr>
        <w:pStyle w:val="ListParagraph"/>
      </w:pPr>
      <w:r>
        <w:t>II – outra unidade pública da região de saúde;</w:t>
      </w:r>
    </w:p>
    <w:p>
      <w:pPr>
        <w:pStyle w:val="ListParagraph"/>
      </w:pPr>
      <w:r>
        <w:t>III – unidade pública de outro território;</w:t>
      </w:r>
    </w:p>
    <w:p>
      <w:pPr>
        <w:pStyle w:val="ListParagraph"/>
      </w:pPr>
      <w:r>
        <w:t>IV – entidade filantrópica, conveniada ou contratada;</w:t>
      </w:r>
    </w:p>
    <w:p>
      <w:pPr>
        <w:pStyle w:val="ListParagraph"/>
      </w:pPr>
      <w:r>
        <w:t>V – capacidade privada complementar, quando necessária e juridicamente cabível.</w:t>
      </w:r>
    </w:p>
    <w:p>
      <w:pPr>
        <w:pStyle w:val="Artigo"/>
      </w:pPr>
      <w:r>
        <w:t>Art. 28º Quando a solução exigir deslocamento, serão avaliados transporte sanitário, hospedagem, alimentação e acompanhante, conforme necessidade clínica e regulamentação.</w:t>
      </w:r>
    </w:p>
    <w:p>
      <w:pPr>
        <w:pStyle w:val="Artigo"/>
      </w:pPr>
      <w:r>
        <w:t>Art. 29º O acionamento da solução substitutiva não acarretará perda de posição, reinício de prazo ou exigência de novo encaminhamento, salvo necessidade clínica superveniente.</w:t>
      </w:r>
    </w:p>
    <w:p>
      <w:pPr>
        <w:pStyle w:val="Artigo"/>
      </w:pPr>
      <w:r>
        <w:t>Art. 30º A recusa injustificada de oferta adequada poderá ser registrada como desistência, asseguradas informação, acessibilidade e consideração das condições pessoais do usuário.</w:t>
      </w:r>
    </w:p>
    <w:p>
      <w:pPr>
        <w:pStyle w:val="Heading1"/>
      </w:pPr>
      <w:r>
        <w:t>TÍTULO VII — DOS MEDICAMENTOS E INSUMOS</w:t>
      </w:r>
    </w:p>
    <w:p>
      <w:pPr>
        <w:pStyle w:val="Artigo"/>
      </w:pPr>
      <w:r>
        <w:t>Art. 31º A indisponibilidade de medicamento ou insumo padronizado deverá gerar registro, informação ao usuário e adoção de providências de contingência.</w:t>
      </w:r>
    </w:p>
    <w:p>
      <w:pPr>
        <w:pStyle w:val="Artigo"/>
      </w:pPr>
      <w:r>
        <w:t>Art. 32º As providências incluirão, conforme o caso:</w:t>
      </w:r>
    </w:p>
    <w:p>
      <w:pPr>
        <w:pStyle w:val="ListParagraph"/>
      </w:pPr>
      <w:r>
        <w:t>I – consulta a estoques de outras unidades;</w:t>
      </w:r>
    </w:p>
    <w:p>
      <w:pPr>
        <w:pStyle w:val="ListParagraph"/>
      </w:pPr>
      <w:r>
        <w:t>II – remanejamento;</w:t>
      </w:r>
    </w:p>
    <w:p>
      <w:pPr>
        <w:pStyle w:val="ListParagraph"/>
      </w:pPr>
      <w:r>
        <w:t>III – previsão de reposição;</w:t>
      </w:r>
    </w:p>
    <w:p>
      <w:pPr>
        <w:pStyle w:val="ListParagraph"/>
      </w:pPr>
      <w:r>
        <w:t>IV – avaliação de substituição terapêutica segura;</w:t>
      </w:r>
    </w:p>
    <w:p>
      <w:pPr>
        <w:pStyle w:val="ListParagraph"/>
      </w:pPr>
      <w:r>
        <w:t>V – aquisição emergencial nas hipóteses cabíveis;</w:t>
      </w:r>
    </w:p>
    <w:p>
      <w:pPr>
        <w:pStyle w:val="ListParagraph"/>
      </w:pPr>
      <w:r>
        <w:t>VI – encaminhamento para unidade capaz de assegurar continuidade.</w:t>
      </w:r>
    </w:p>
    <w:p>
      <w:pPr>
        <w:pStyle w:val="Artigo"/>
      </w:pPr>
      <w:r>
        <w:t>Art. 33º A simples emissão de declaração de falta não encerra a obrigação assistencial quando houver risco de interrupção ou agravamento.</w:t>
      </w:r>
    </w:p>
    <w:p>
      <w:pPr>
        <w:pStyle w:val="Artigo"/>
      </w:pPr>
      <w:r>
        <w:t>Art. 34º Os dados de indisponibilidade recorrente serão publicados de forma agregada e utilizados no planejamento de compras e estoques.</w:t>
      </w:r>
    </w:p>
    <w:p>
      <w:pPr>
        <w:pStyle w:val="Heading1"/>
      </w:pPr>
      <w:r>
        <w:t>TÍTULO VIII — DA RESPONSABILIDADE INTERFEDERATIVA</w:t>
      </w:r>
    </w:p>
    <w:p>
      <w:pPr>
        <w:pStyle w:val="Artigo"/>
      </w:pPr>
      <w:r>
        <w:t>Art. 35º A distribuição constitucional e legal de competências será preservada, vedada a transferência ao usuário do conflito administrativo entre entes federativos.</w:t>
      </w:r>
    </w:p>
    <w:p>
      <w:pPr>
        <w:pStyle w:val="Artigo"/>
      </w:pPr>
      <w:r>
        <w:t>Art. 36º A porta de entrada responsável deverá registrar, encaminhar eletronicamente, acompanhar o recebimento e informar o usuário até que a demanda seja aceita pelo fluxo competente.</w:t>
      </w:r>
    </w:p>
    <w:p>
      <w:pPr>
        <w:pStyle w:val="Artigo"/>
      </w:pPr>
      <w:r>
        <w:t>Art. 37º Os entes federativos deverão adotar padrões mínimos de interoperabilidade, preservados a autonomia tecnológica e os requisitos de proteção de dados.</w:t>
      </w:r>
    </w:p>
    <w:p>
      <w:pPr>
        <w:pStyle w:val="Artigo"/>
      </w:pPr>
      <w:r>
        <w:t>Art. 38º A regulamentação poderá estabelecer pactos regionais de garantia e mecanismos de compensação entre entes e prestadores.</w:t>
      </w:r>
    </w:p>
    <w:p>
      <w:pPr>
        <w:pStyle w:val="Heading1"/>
      </w:pPr>
      <w:r>
        <w:t>TÍTULO IX — DA TRANSPARÊNCIA E DO CONTROLE SOCIAL</w:t>
      </w:r>
    </w:p>
    <w:p>
      <w:pPr>
        <w:pStyle w:val="Artigo"/>
      </w:pPr>
      <w:r>
        <w:t>Art. 39º Serão divulgados, por território, unidade, especialidade e procedimento, dados agregados de demanda, oferta, espera e cumprimento de prazos.</w:t>
      </w:r>
    </w:p>
    <w:p>
      <w:pPr>
        <w:pStyle w:val="Artigo"/>
      </w:pPr>
      <w:r>
        <w:t>Art. 40º A divulgação conterá, no mínimo:</w:t>
      </w:r>
    </w:p>
    <w:p>
      <w:pPr>
        <w:pStyle w:val="ListParagraph"/>
      </w:pPr>
      <w:r>
        <w:t>I – novos pedidos;</w:t>
      </w:r>
    </w:p>
    <w:p>
      <w:pPr>
        <w:pStyle w:val="ListParagraph"/>
      </w:pPr>
      <w:r>
        <w:t>II – atendimentos realizados;</w:t>
      </w:r>
    </w:p>
    <w:p>
      <w:pPr>
        <w:pStyle w:val="ListParagraph"/>
      </w:pPr>
      <w:r>
        <w:t>III – tempo médio, mediano e máximo;</w:t>
      </w:r>
    </w:p>
    <w:p>
      <w:pPr>
        <w:pStyle w:val="ListParagraph"/>
      </w:pPr>
      <w:r>
        <w:t>IV – quantidade de pessoas acima do prazo;</w:t>
      </w:r>
    </w:p>
    <w:p>
      <w:pPr>
        <w:pStyle w:val="ListParagraph"/>
      </w:pPr>
      <w:r>
        <w:t>V – cancelamentos pelo usuário e pelo serviço;</w:t>
      </w:r>
    </w:p>
    <w:p>
      <w:pPr>
        <w:pStyle w:val="ListParagraph"/>
      </w:pPr>
      <w:r>
        <w:t>VI – capacidade instalada e utilizada;</w:t>
      </w:r>
    </w:p>
    <w:p>
      <w:pPr>
        <w:pStyle w:val="ListParagraph"/>
      </w:pPr>
      <w:r>
        <w:t>VII – medicamentos indisponíveis;</w:t>
      </w:r>
    </w:p>
    <w:p>
      <w:pPr>
        <w:pStyle w:val="ListParagraph"/>
      </w:pPr>
      <w:r>
        <w:t>VIII – planos corretivos e sua execução.</w:t>
      </w:r>
    </w:p>
    <w:p>
      <w:pPr>
        <w:pStyle w:val="Artigo"/>
      </w:pPr>
      <w:r>
        <w:t>Art. 41º A divulgação observará a proteção de dados pessoais e o sigilo das informações de saúde.</w:t>
      </w:r>
    </w:p>
    <w:p>
      <w:pPr>
        <w:pStyle w:val="Artigo"/>
      </w:pPr>
      <w:r>
        <w:t>Art. 42º Os conselhos de saúde terão acesso aos indicadores necessários ao exercício do controle social.</w:t>
      </w:r>
    </w:p>
    <w:p>
      <w:pPr>
        <w:pStyle w:val="Artigo"/>
      </w:pPr>
      <w:r>
        <w:t>Art. 43º A informação será disponibilizada em formato acessível, aberto e reutilizável, sempre que tecnicamente possível.</w:t>
      </w:r>
    </w:p>
    <w:p>
      <w:pPr>
        <w:pStyle w:val="Heading1"/>
      </w:pPr>
      <w:r>
        <w:t>TÍTULO X — DO ÍNDICE NACIONAL DE GARANTIA DA SAÚDE</w:t>
      </w:r>
    </w:p>
    <w:p>
      <w:pPr>
        <w:pStyle w:val="Artigo"/>
      </w:pPr>
      <w:r>
        <w:t>Art. 44º Fica instituído o Índice Nacional de Garantia da Saúde — INGS, destinado a avaliar a capacidade de entrega das garantias previstas nesta Lei.</w:t>
      </w:r>
    </w:p>
    <w:p>
      <w:pPr>
        <w:pStyle w:val="Artigo"/>
      </w:pPr>
      <w:r>
        <w:t>Art. 45º O INGS considerará acesso, prazos, medicamentos, continuidade, resolutividade, segurança, transparência, desigualdades e resultados, com ajuste metodológico para diferenças territoriais e epidemiológicas.</w:t>
      </w:r>
    </w:p>
    <w:p>
      <w:pPr>
        <w:pStyle w:val="Artigo"/>
      </w:pPr>
      <w:r>
        <w:t>Art. 46º O índice será utilizado prioritariamente para diagnóstico, apoio técnico, planejamento e correção, não constituindo, isoladamente, fundamento para punição ou restrição de atendimento.</w:t>
      </w:r>
    </w:p>
    <w:p>
      <w:pPr>
        <w:pStyle w:val="Artigo"/>
      </w:pPr>
      <w:r>
        <w:t>Art. 47º A metodologia, as bases de dados e os resultados serão públicos e submetidos a revisão periódica.</w:t>
      </w:r>
    </w:p>
    <w:p>
      <w:pPr>
        <w:pStyle w:val="Heading1"/>
      </w:pPr>
      <w:r>
        <w:t>TÍTULO XI — DO PROCEDIMENTO ADMINISTRATIVO DE GARANTIA</w:t>
      </w:r>
    </w:p>
    <w:p>
      <w:pPr>
        <w:pStyle w:val="Artigo"/>
      </w:pPr>
      <w:r>
        <w:t>Art. 48º O usuário poderá registrar pedido administrativo de garantia quando houver ausência de protocolo, informação, prazo, medicamento, continuidade ou solução substitutiva.</w:t>
      </w:r>
    </w:p>
    <w:p>
      <w:pPr>
        <w:pStyle w:val="Artigo"/>
      </w:pPr>
      <w:r>
        <w:t>Art. 49º O pedido poderá ser apresentado por meio digital, telefônico ou presencial, diretamente ou por representante.</w:t>
      </w:r>
    </w:p>
    <w:p>
      <w:pPr>
        <w:pStyle w:val="Artigo"/>
      </w:pPr>
      <w:r>
        <w:t>Art. 50º A resposta será fundamentada e indicará providência, prazo, responsável e possibilidade de recurso.</w:t>
      </w:r>
    </w:p>
    <w:p>
      <w:pPr>
        <w:pStyle w:val="Artigo"/>
      </w:pPr>
      <w:r>
        <w:t>Art. 51º Casos de urgência, risco de agravamento, criança, gestante, pessoa idosa, pessoa com deficiência ou vulnerabilidade terão tramitação prioritária.</w:t>
      </w:r>
    </w:p>
    <w:p>
      <w:pPr>
        <w:pStyle w:val="Artigo"/>
      </w:pPr>
      <w:r>
        <w:t>Art. 52º A ausência de resposta administrativa não impede o acesso à ouvidoria, ao Ministério Público, à Defensoria Pública ou ao Poder Judiciário.</w:t>
      </w:r>
    </w:p>
    <w:p>
      <w:pPr>
        <w:pStyle w:val="Heading1"/>
      </w:pPr>
      <w:r>
        <w:t>TÍTULO XII — DA CORREÇÃO, FISCALIZAÇÃO E RESPONSABILIZAÇÃO</w:t>
      </w:r>
    </w:p>
    <w:p>
      <w:pPr>
        <w:pStyle w:val="Artigo"/>
      </w:pPr>
      <w:r>
        <w:t>Art. 53º O descumprimento sistêmico ou reiterado dará origem a plano de correção com causas, metas, responsáveis, recursos, cronograma e monitoramento.</w:t>
      </w:r>
    </w:p>
    <w:p>
      <w:pPr>
        <w:pStyle w:val="Artigo"/>
      </w:pPr>
      <w:r>
        <w:t>Art. 54º A fiscalização distinguirá:</w:t>
      </w:r>
    </w:p>
    <w:p>
      <w:pPr>
        <w:pStyle w:val="ListParagraph"/>
      </w:pPr>
      <w:r>
        <w:t>I – insuficiência estrutural comprovada;</w:t>
      </w:r>
    </w:p>
    <w:p>
      <w:pPr>
        <w:pStyle w:val="ListParagraph"/>
      </w:pPr>
      <w:r>
        <w:t>II – evento imprevisível ou força maior;</w:t>
      </w:r>
    </w:p>
    <w:p>
      <w:pPr>
        <w:pStyle w:val="ListParagraph"/>
      </w:pPr>
      <w:r>
        <w:t>III – falha de planejamento;</w:t>
      </w:r>
    </w:p>
    <w:p>
      <w:pPr>
        <w:pStyle w:val="ListParagraph"/>
      </w:pPr>
      <w:r>
        <w:t>IV – omissão administrativa;</w:t>
      </w:r>
    </w:p>
    <w:p>
      <w:pPr>
        <w:pStyle w:val="ListParagraph"/>
      </w:pPr>
      <w:r>
        <w:t>V – fraude, favorecimento ou manipulação;</w:t>
      </w:r>
    </w:p>
    <w:p>
      <w:pPr>
        <w:pStyle w:val="ListParagraph"/>
      </w:pPr>
      <w:r>
        <w:t>VI – desvio ou uso indevido de recursos.</w:t>
      </w:r>
    </w:p>
    <w:p>
      <w:pPr>
        <w:pStyle w:val="Artigo"/>
      </w:pPr>
      <w:r>
        <w:t>Art. 55º A resposta inicial privilegiará apoio técnico, reorganização, pactuação regional e correção, sem prejuízo de medidas imediatas para proteção do paciente.</w:t>
      </w:r>
    </w:p>
    <w:p>
      <w:pPr>
        <w:pStyle w:val="Artigo"/>
      </w:pPr>
      <w:r>
        <w:t>Art. 56º A responsabilização pessoal dependerá de conduta própria e observará dolo, fraude, culpa grave, omissão qualificada e nexo causal.</w:t>
      </w:r>
    </w:p>
    <w:p>
      <w:pPr>
        <w:pStyle w:val="Artigo"/>
      </w:pPr>
      <w:r>
        <w:t>Art. 57º O profissional de saúde não será responsabilizado por falha exclusivamente estrutural ou administrativa que não tenha provocado nem pudesse razoavelmente evitar.</w:t>
      </w:r>
    </w:p>
    <w:p>
      <w:pPr>
        <w:pStyle w:val="Artigo"/>
      </w:pPr>
      <w:r>
        <w:t>Art. 58º A manipulação intencional de filas, a exclusão irregular, o registro fictício, o favorecimento e a ocultação de dados serão comunicados aos órgãos competentes.</w:t>
      </w:r>
    </w:p>
    <w:p>
      <w:pPr>
        <w:pStyle w:val="Heading1"/>
      </w:pPr>
      <w:r>
        <w:t>TÍTULO XIII — DOS DEVERES DO USUÁRIO</w:t>
      </w:r>
    </w:p>
    <w:p>
      <w:pPr>
        <w:pStyle w:val="Artigo"/>
      </w:pPr>
      <w:r>
        <w:t>Art. 59º O usuário deverá manter dados de contato atualizados, comparecer aos atendimentos, comunicar impedimentos, apresentar documentos necessários e informar desistência.</w:t>
      </w:r>
    </w:p>
    <w:p>
      <w:pPr>
        <w:pStyle w:val="Artigo"/>
      </w:pPr>
      <w:r>
        <w:t>Art. 60º A falta justificada não implicará perda automática do direito, devendo ser assegurada remarcação compatível com o risco e a disponibilidade.</w:t>
      </w:r>
    </w:p>
    <w:p>
      <w:pPr>
        <w:pStyle w:val="Artigo"/>
      </w:pPr>
      <w:r>
        <w:t>Art. 61º Antes do cancelamento por impossibilidade de contato, serão realizadas tentativas razoáveis por mais de um meio, quando disponível.</w:t>
      </w:r>
    </w:p>
    <w:p>
      <w:pPr>
        <w:pStyle w:val="Artigo"/>
      </w:pPr>
      <w:r>
        <w:t>Art. 62º A administração adotará medidas para impedir duplicidade indevida de filas, preservadas as necessidades distintas e os encaminhamentos legítimos.</w:t>
      </w:r>
    </w:p>
    <w:p>
      <w:pPr>
        <w:pStyle w:val="Heading1"/>
      </w:pPr>
      <w:r>
        <w:t>TÍTULO XIV — DA IMPLEMENTAÇÃO E DO FINANCIAMENTO</w:t>
      </w:r>
    </w:p>
    <w:p>
      <w:pPr>
        <w:pStyle w:val="Artigo"/>
      </w:pPr>
      <w:r>
        <w:t>Art. 63º A implementação será gradual, priorizando serviços de maior risco, maior demanda e maior espera.</w:t>
      </w:r>
    </w:p>
    <w:p>
      <w:pPr>
        <w:pStyle w:val="Artigo"/>
      </w:pPr>
      <w:r>
        <w:t>Art. 64º Os entes incorporarão as ações decorrentes desta Lei aos instrumentos de planejamento e orçamento do SUS.</w:t>
      </w:r>
    </w:p>
    <w:p>
      <w:pPr>
        <w:pStyle w:val="Artigo"/>
      </w:pPr>
      <w:r>
        <w:t>Art. 65º A União prestará apoio técnico e poderá estabelecer incentivos, observada a disponibilidade orçamentária e a legislação financeira.</w:t>
      </w:r>
    </w:p>
    <w:p>
      <w:pPr>
        <w:pStyle w:val="Artigo"/>
      </w:pPr>
      <w:r>
        <w:t>Art. 66º A regulamentação considerará as particularidades de áreas rurais, remotas, indígenas, fronteiriças e de baixa densidade populacional.</w:t>
      </w:r>
    </w:p>
    <w:p>
      <w:pPr>
        <w:pStyle w:val="Artigo"/>
      </w:pPr>
      <w:r>
        <w:t>Art. 67º Serão priorizados o uso e a integração de estruturas e sistemas existentes, evitando duplicação administrativa desnecessária.</w:t>
      </w:r>
    </w:p>
    <w:p>
      <w:pPr>
        <w:pStyle w:val="Heading1"/>
      </w:pPr>
      <w:r>
        <w:t>TÍTULO XV — DISPOSIÇÕES FINAIS E TRANSITÓRIAS</w:t>
      </w:r>
    </w:p>
    <w:p>
      <w:pPr>
        <w:pStyle w:val="Artigo"/>
      </w:pPr>
      <w:r>
        <w:t>Art. 68º O Poder Executivo regulamentará esta Lei, ouvidos os órgãos de pactuação interfederativa e de controle social do SUS.</w:t>
      </w:r>
    </w:p>
    <w:p>
      <w:pPr>
        <w:pStyle w:val="Artigo"/>
      </w:pPr>
      <w:r>
        <w:t>Art. 69º No primeiro ciclo de implantação serão obrigatórios o protocolo, a preservação do histórico, a transparência mínima e o procedimento administrativo de garantia.</w:t>
      </w:r>
    </w:p>
    <w:p>
      <w:pPr>
        <w:pStyle w:val="Artigo"/>
      </w:pPr>
      <w:r>
        <w:t>Art. 70º Os prazos nacionais e a solução substitutiva serão implantados progressivamente conforme cronograma regulamentar, sem prejuízo das garantias específicas já previstas em lei.</w:t>
      </w:r>
    </w:p>
    <w:p>
      <w:pPr>
        <w:pStyle w:val="Artigo"/>
      </w:pPr>
      <w:r>
        <w:t>Art. 71º Os entes publicarão plano de adequação no prazo definido em regulamento.</w:t>
      </w:r>
    </w:p>
    <w:p>
      <w:pPr>
        <w:pStyle w:val="Artigo"/>
      </w:pPr>
      <w:r>
        <w:t>Art. 72º Esta Lei entra em vigor após cento e oitenta dias de sua publicação, ressalvados os dispositivos que exijam regulamentação ou implantação gradual.</w:t>
      </w:r>
    </w:p>
    <w:p>
      <w:pPr>
        <w:pStyle w:val="Heading1"/>
      </w:pPr>
      <w:r>
        <w:t>Cláusula de revisão</w:t>
      </w:r>
    </w:p>
    <w:p>
      <w:r>
        <w:t>Recomenda-se que a versão legislativa final preveja avaliação independente após os primeiros ciclos de implantação, com relatório ao Congresso Nacional e possibilidade de revisão dos parâmetros.</w:t>
      </w:r>
    </w:p>
    <w:p>
      <w:r>
        <w:br w:type="page"/>
      </w:r>
    </w:p>
    <w:p>
      <w:pPr>
        <w:pStyle w:val="Heading1"/>
      </w:pPr>
      <w:r>
        <w:t>Referências normativas e institucionais</w:t>
      </w:r>
    </w:p>
    <w:p>
      <w:pPr>
        <w:pStyle w:val="ListBullet"/>
      </w:pPr>
      <w:hyperlink r:id="rId11">
        <w:r>
          <w:rPr>
            <w:color w:val="0563C1"/>
            <w:u w:val="single"/>
          </w:rPr>
          <w:t>Constituição da República Federativa do Brasil de 1988</w:t>
        </w:r>
      </w:hyperlink>
    </w:p>
    <w:p>
      <w:pPr>
        <w:pStyle w:val="ListBullet"/>
      </w:pPr>
      <w:hyperlink r:id="rId12">
        <w:r>
          <w:rPr>
            <w:color w:val="0563C1"/>
            <w:u w:val="single"/>
          </w:rPr>
          <w:t>Lei nº 8.080, de 19 de setembro de 1990 — Lei Orgânica da Saúde</w:t>
        </w:r>
      </w:hyperlink>
    </w:p>
    <w:p>
      <w:pPr>
        <w:pStyle w:val="ListBullet"/>
      </w:pPr>
      <w:hyperlink r:id="rId13">
        <w:r>
          <w:rPr>
            <w:color w:val="0563C1"/>
            <w:u w:val="single"/>
          </w:rPr>
          <w:t>Decreto nº 7.508, de 28 de junho de 2011</w:t>
        </w:r>
      </w:hyperlink>
    </w:p>
    <w:p>
      <w:pPr>
        <w:pStyle w:val="ListBullet"/>
      </w:pPr>
      <w:hyperlink r:id="rId14">
        <w:r>
          <w:rPr>
            <w:color w:val="0563C1"/>
            <w:u w:val="single"/>
          </w:rPr>
          <w:t>Lei nº 12.732, de 22 de novembro de 2012 — prazos na atenção oncológica</w:t>
        </w:r>
      </w:hyperlink>
    </w:p>
    <w:p>
      <w:pPr>
        <w:pStyle w:val="ListBullet"/>
      </w:pPr>
      <w:hyperlink r:id="rId15">
        <w:r>
          <w:rPr>
            <w:color w:val="0563C1"/>
            <w:u w:val="single"/>
          </w:rPr>
          <w:t>Lei nº 15.233, de 7 de outubro de 2025 — Programa Agora Tem Especialistas</w:t>
        </w:r>
      </w:hyperlink>
    </w:p>
    <w:p>
      <w:pPr>
        <w:pStyle w:val="ListBullet"/>
      </w:pPr>
      <w:hyperlink r:id="rId16">
        <w:r>
          <w:rPr>
            <w:color w:val="0563C1"/>
            <w:u w:val="single"/>
          </w:rPr>
          <w:t>Lei nº 15.378, de 6 de abril de 2026 — Estatuto dos Direitos do Paciente</w:t>
        </w:r>
      </w:hyperlink>
    </w:p>
    <w:p>
      <w:r>
        <w:rPr>
          <w:b/>
        </w:rPr>
        <w:t xml:space="preserve">Nota técnica: </w:t>
      </w:r>
      <w:r>
        <w:t>o texto é uma proposta preliminar de iniciativa cidadã e deverá passar por revisão jurídica legislativa, análise de impacto orçamentário e adequação à técnica legislativa antes de sua apresentação formal.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666666"/>
        <w:sz w:val="16"/>
      </w:rPr>
      <w:t>PROJETO NACIONAL DE GARANTIA DO ACESSO ESSENCIAL À SAÚDE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6D7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b/>
      <w:i/>
      <w:iCs/>
      <w:color w:val="1F6D7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go">
    <w:name w:val="Artigo"/>
    <w:pPr>
      <w:spacing w:before="160" w:after="60"/>
    </w:pPr>
    <w:rPr>
      <w:rFonts w:ascii="Aptos" w:hAnsi="Aptos"/>
      <w:b/>
      <w:color w:val="17365D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planalto.gov.br/ccivil_03/constituicao/constituicao.htm" TargetMode="External"/><Relationship Id="rId12" Type="http://schemas.openxmlformats.org/officeDocument/2006/relationships/hyperlink" Target="https://www.planalto.gov.br/ccivil_03/leis/l8080.htm" TargetMode="External"/><Relationship Id="rId13" Type="http://schemas.openxmlformats.org/officeDocument/2006/relationships/hyperlink" Target="https://www.planalto.gov.br/ccivil_03/_ato2011-2014/2011/decreto/d7508.htm" TargetMode="External"/><Relationship Id="rId14" Type="http://schemas.openxmlformats.org/officeDocument/2006/relationships/hyperlink" Target="https://www.planalto.gov.br/ccivil_03/_ato2011-2014/2012/lei/l12732.htm" TargetMode="External"/><Relationship Id="rId15" Type="http://schemas.openxmlformats.org/officeDocument/2006/relationships/hyperlink" Target="https://www.planalto.gov.br/ccivil_03/_ato2023-2026/2025/lei/l15233.htm" TargetMode="External"/><Relationship Id="rId16" Type="http://schemas.openxmlformats.org/officeDocument/2006/relationships/hyperlink" Target="https://www.planalto.gov.br/ccivil_03/_ato2023-2026/2026/lei/l1537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