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800"/>
        <w:jc w:val="center"/>
      </w:pPr>
      <w:r>
        <w:rPr>
          <w:rFonts w:ascii="Aptos Display" w:hAnsi="Aptos Display"/>
          <w:b/>
          <w:color w:val="17365D"/>
          <w:sz w:val="56"/>
        </w:rPr>
        <w:t>EXPOSIÇÃO DE MOTIVOS</w:t>
      </w:r>
    </w:p>
    <w:p>
      <w:pPr>
        <w:jc w:val="center"/>
      </w:pPr>
      <w:r>
        <w:rPr>
          <w:b/>
          <w:color w:val="1F6D7A"/>
          <w:sz w:val="30"/>
        </w:rPr>
        <w:t>Justificativa técnica, social e institucional do anteprojeto</w:t>
      </w:r>
    </w:p>
    <w:p>
      <w:pPr>
        <w:spacing w:before="1000"/>
        <w:jc w:val="center"/>
      </w:pPr>
      <w:r>
        <w:rPr>
          <w:i/>
          <w:sz w:val="24"/>
        </w:rPr>
        <w:t>Direito reconhecido + prazo definido + responsável identificado + solução alternativa</w:t>
      </w:r>
    </w:p>
    <w:p>
      <w:pPr>
        <w:spacing w:before="2000"/>
        <w:jc w:val="center"/>
      </w:pPr>
      <w:r>
        <w:rPr>
          <w:color w:val="666666"/>
          <w:sz w:val="20"/>
        </w:rPr>
        <w:t>Versão preliminar 0.1 — julho de 2026</w:t>
      </w:r>
    </w:p>
    <w:p>
      <w:r>
        <w:br w:type="page"/>
      </w:r>
    </w:p>
    <w:p>
      <w:pPr>
        <w:pStyle w:val="Heading1"/>
      </w:pPr>
      <w:r>
        <w:t>1. Síntese da proposta</w:t>
      </w:r>
    </w:p>
    <w:p>
      <w:r>
        <w:t>O anteprojeto cria normas gerais para assegurar que necessidades de saúde reconhecidas no SUS sejam registradas, classificadas, acompanhadas e atendidas em prazo clinicamente adequado, com solução alternativa quando a rede responsável não puder cumprir a garantia.</w:t>
      </w:r>
    </w:p>
    <w:p>
      <w:pPr>
        <w:pStyle w:val="Heading1"/>
      </w:pPr>
      <w:r>
        <w:t>2. Necessidade da iniciativa</w:t>
      </w:r>
    </w:p>
    <w:p>
      <w:r>
        <w:t>A Constituição de 1988 estabeleceu a saúde como direito de todos e dever do Estado. A Lei nº 8.080/1990 organizou o SUS e consolidou princípios de universalidade, integralidade e descentralização. Em 2026, o Estatuto dos Direitos do Paciente reforçou o direito a cuidados de qualidade no tempo oportuno. Apesar desses avanços, persiste uma lacuna operacional: muitos usuários não dispõem de prazo, posição ou faixa de fila, responsável identificado, histórico confiável ou alternativa administrativa quando o atendimento atrasa.</w:t>
      </w:r>
    </w:p>
    <w:p>
      <w:pPr>
        <w:pStyle w:val="Heading1"/>
      </w:pPr>
      <w:r>
        <w:t>3. Não se trata de criar novo direito abstrato</w:t>
      </w:r>
    </w:p>
    <w:p>
      <w:r>
        <w:t>A proposta parte de direitos já reconhecidos e busca estabelecer mecanismos de execução. Seu objetivo é construir uma ponte entre a indicação clínica e a entrega: protocolo, classificação, prazo, informação, continuidade e contingência.</w:t>
      </w:r>
    </w:p>
    <w:p>
      <w:pPr>
        <w:pStyle w:val="Heading1"/>
      </w:pPr>
      <w:r>
        <w:t>4. Redução da peregrinação administrativa</w:t>
      </w:r>
    </w:p>
    <w:p>
      <w:r>
        <w:t>A regionalização do SUS exige cooperação. Entretanto, o usuário não deve suportar o ônus de identificar qual ente ou unidade é competente. A porta de entrada deverá acompanhar o encaminhamento até sua aceitação, preservando o histórico e a informação.</w:t>
      </w:r>
    </w:p>
    <w:p>
      <w:pPr>
        <w:pStyle w:val="Heading1"/>
      </w:pPr>
      <w:r>
        <w:t>5. Filas transparentes sem desrespeitar a clínica</w:t>
      </w:r>
    </w:p>
    <w:p>
      <w:r>
        <w:t>A ordem cronológica pura não é adequada para todas as situações, pois casos mais graves podem precisar ultrapassar casos de menor risco. Por isso, a proposta não congela a fila; exige critérios públicos, rastreabilidade e justificativa. O usuário poderá conhecer sua situação sem comprometer a priorização clínica.</w:t>
      </w:r>
    </w:p>
    <w:p>
      <w:pPr>
        <w:pStyle w:val="Heading1"/>
      </w:pPr>
      <w:r>
        <w:t>6. Prazos tecnicamente definidos</w:t>
      </w:r>
    </w:p>
    <w:p>
      <w:r>
        <w:t>A lei estabelece categorias e princípios, deixando a parametrização detalhada para regulamentação técnica, pactuação e revisão periódica. Assim, evita-se fixar no texto legal números arbitrários ou rapidamente desatualizados.</w:t>
      </w:r>
    </w:p>
    <w:p>
      <w:pPr>
        <w:pStyle w:val="Heading1"/>
      </w:pPr>
      <w:r>
        <w:t>7. Solução substitutiva</w:t>
      </w:r>
    </w:p>
    <w:p>
      <w:r>
        <w:t>O aspecto mais inovador é a obrigação de procurar alternativa quando o prazo for ultrapassado. A providência poderá ocorrer na mesma rede, em outra unidade pública, em região diversa ou por participação complementar, conforme a Constituição e a legislação do SUS. O usuário não deverá reiniciar o pedido.</w:t>
      </w:r>
    </w:p>
    <w:p>
      <w:pPr>
        <w:pStyle w:val="Heading1"/>
      </w:pPr>
      <w:r>
        <w:t>8. Proteção do financiamento e viabilidade</w:t>
      </w:r>
    </w:p>
    <w:p>
      <w:r>
        <w:t>A implementação deverá ser gradual, incorporada aos instrumentos de planejamento e orçamento, priorizando serviços críticos. A proposta evita criar, em sua versão inicial, cargos ou estruturas administrativas detalhadas. O desenho busca usar sistemas, ouvidorias, redes regionais e mecanismos de contratação já existentes, com integração e aperfeiçoamento.</w:t>
      </w:r>
    </w:p>
    <w:p>
      <w:pPr>
        <w:pStyle w:val="Heading1"/>
      </w:pPr>
      <w:r>
        <w:t>9. Impactos esperados</w:t>
      </w:r>
    </w:p>
    <w:p>
      <w:pPr>
        <w:pStyle w:val="ListBullet"/>
      </w:pPr>
      <w:r>
        <w:t>redução de filas invisíveis;</w:t>
      </w:r>
    </w:p>
    <w:p>
      <w:pPr>
        <w:pStyle w:val="ListBullet"/>
      </w:pPr>
      <w:r>
        <w:t>melhoria da qualidade dos dados;</w:t>
      </w:r>
    </w:p>
    <w:p>
      <w:pPr>
        <w:pStyle w:val="ListBullet"/>
      </w:pPr>
      <w:r>
        <w:t>aumento da utilização da capacidade instalada;</w:t>
      </w:r>
    </w:p>
    <w:p>
      <w:pPr>
        <w:pStyle w:val="ListBullet"/>
      </w:pPr>
      <w:r>
        <w:t>proteção contra perda de encaminhamentos;</w:t>
      </w:r>
    </w:p>
    <w:p>
      <w:pPr>
        <w:pStyle w:val="ListBullet"/>
      </w:pPr>
      <w:r>
        <w:t>redução de cancelamentos indevidos;</w:t>
      </w:r>
    </w:p>
    <w:p>
      <w:pPr>
        <w:pStyle w:val="ListBullet"/>
      </w:pPr>
      <w:r>
        <w:t>melhor planejamento de medicamentos e serviços;</w:t>
      </w:r>
    </w:p>
    <w:p>
      <w:pPr>
        <w:pStyle w:val="ListBullet"/>
      </w:pPr>
      <w:r>
        <w:t>resolução administrativa de conflitos;</w:t>
      </w:r>
    </w:p>
    <w:p>
      <w:pPr>
        <w:pStyle w:val="ListBullet"/>
      </w:pPr>
      <w:r>
        <w:t>redução da judicialização evitável;</w:t>
      </w:r>
    </w:p>
    <w:p>
      <w:pPr>
        <w:pStyle w:val="ListBullet"/>
      </w:pPr>
      <w:r>
        <w:t>fortalecimento do controle social;</w:t>
      </w:r>
    </w:p>
    <w:p>
      <w:pPr>
        <w:pStyle w:val="ListBullet"/>
      </w:pPr>
      <w:r>
        <w:t>maior confiança no SUS.</w:t>
      </w:r>
    </w:p>
    <w:p>
      <w:pPr>
        <w:pStyle w:val="Heading1"/>
      </w:pPr>
      <w:r>
        <w:t>10. Constitucionalidade em perspectiva</w:t>
      </w:r>
    </w:p>
    <w:p>
      <w:r>
        <w:t>A União possui competência para editar normas gerais de proteção e defesa da saúde. A redação final deverá preservar a autonomia dos entes e evitar matéria de iniciativa privativa do Poder Executivo, como criação de cargos, reorganização interna de órgãos ou detalhamento de estruturas administrativas. O anteprojeto concentra-se em direitos, resultados, deveres gerais e transparência.</w:t>
      </w:r>
    </w:p>
    <w:p>
      <w:pPr>
        <w:pStyle w:val="Heading1"/>
      </w:pPr>
      <w:r>
        <w:t>11. Conclusão</w:t>
      </w:r>
    </w:p>
    <w:p>
      <w:r>
        <w:t>O Brasil já afirmou que saúde é direito. O passo seguinte é estabelecer como esse direito será entregue quando a capacidade ordinária falhar. A proposta não promete ausência de filas; garante que nenhuma fila seja invisível, indefinida ou sem consequência administrativa.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DCE6F1"/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17365D"/>
                <w:sz w:val="22"/>
              </w:rPr>
              <w:t>Mensagem ao legislador</w:t>
              <w:br/>
            </w:r>
            <w:r>
              <w:rPr>
                <w:sz w:val="21"/>
              </w:rPr>
              <w:t>A proposta transforma espera sem resposta em dever de gestão: registrar, explicar, corrigir e oferecer alternativa.</w:t>
            </w:r>
          </w:p>
        </w:tc>
      </w:tr>
    </w:tbl>
    <w:p/>
    <w:p>
      <w:r>
        <w:br w:type="page"/>
      </w:r>
    </w:p>
    <w:p>
      <w:pPr>
        <w:pStyle w:val="Heading1"/>
      </w:pPr>
      <w:r>
        <w:t>Referências normativas e institucionais</w:t>
      </w:r>
    </w:p>
    <w:p>
      <w:pPr>
        <w:pStyle w:val="ListBullet"/>
      </w:pPr>
      <w:hyperlink r:id="rId11">
        <w:r>
          <w:rPr>
            <w:color w:val="0563C1"/>
            <w:u w:val="single"/>
          </w:rPr>
          <w:t>Constituição da República Federativa do Brasil de 1988</w:t>
        </w:r>
      </w:hyperlink>
    </w:p>
    <w:p>
      <w:pPr>
        <w:pStyle w:val="ListBullet"/>
      </w:pPr>
      <w:hyperlink r:id="rId12">
        <w:r>
          <w:rPr>
            <w:color w:val="0563C1"/>
            <w:u w:val="single"/>
          </w:rPr>
          <w:t>Lei nº 8.080, de 19 de setembro de 1990 — Lei Orgânica da Saúde</w:t>
        </w:r>
      </w:hyperlink>
    </w:p>
    <w:p>
      <w:pPr>
        <w:pStyle w:val="ListBullet"/>
      </w:pPr>
      <w:hyperlink r:id="rId13">
        <w:r>
          <w:rPr>
            <w:color w:val="0563C1"/>
            <w:u w:val="single"/>
          </w:rPr>
          <w:t>Decreto nº 7.508, de 28 de junho de 2011</w:t>
        </w:r>
      </w:hyperlink>
    </w:p>
    <w:p>
      <w:pPr>
        <w:pStyle w:val="ListBullet"/>
      </w:pPr>
      <w:hyperlink r:id="rId14">
        <w:r>
          <w:rPr>
            <w:color w:val="0563C1"/>
            <w:u w:val="single"/>
          </w:rPr>
          <w:t>Lei nº 12.732, de 22 de novembro de 2012 — prazos na atenção oncológica</w:t>
        </w:r>
      </w:hyperlink>
    </w:p>
    <w:p>
      <w:pPr>
        <w:pStyle w:val="ListBullet"/>
      </w:pPr>
      <w:hyperlink r:id="rId15">
        <w:r>
          <w:rPr>
            <w:color w:val="0563C1"/>
            <w:u w:val="single"/>
          </w:rPr>
          <w:t>Lei nº 15.233, de 7 de outubro de 2025 — Programa Agora Tem Especialistas</w:t>
        </w:r>
      </w:hyperlink>
    </w:p>
    <w:p>
      <w:pPr>
        <w:pStyle w:val="ListBullet"/>
      </w:pPr>
      <w:hyperlink r:id="rId16">
        <w:r>
          <w:rPr>
            <w:color w:val="0563C1"/>
            <w:u w:val="single"/>
          </w:rPr>
          <w:t>Lei nº 15.378, de 6 de abril de 2026 — Estatuto dos Direitos do Paciente</w:t>
        </w:r>
      </w:hyperlink>
    </w:p>
    <w:p>
      <w:r>
        <w:rPr>
          <w:b/>
        </w:rPr>
        <w:t xml:space="preserve">Nota técnica: </w:t>
      </w:r>
      <w:r>
        <w:t>o texto é uma proposta preliminar de iniciativa cidadã e deverá passar por revisão jurídica legislativa, análise de impacto orçamentário e adequação à técnica legislativa antes de sua apresentação formal.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color w:val="666666"/>
        <w:sz w:val="16"/>
      </w:rPr>
      <w:t>PROJETO NACIONAL DE GARANTIA DO ACESSO ESSENCIAL À SAÚDE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7365D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F6D7A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17365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 Display" w:hAnsi="Aptos Display"/>
      <w:b/>
      <w:i/>
      <w:iCs/>
      <w:color w:val="1F6D7A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rtigo">
    <w:name w:val="Artigo"/>
    <w:pPr>
      <w:spacing w:before="160" w:after="60"/>
    </w:pPr>
    <w:rPr>
      <w:rFonts w:ascii="Aptos" w:hAnsi="Aptos"/>
      <w:b/>
      <w:color w:val="17365D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planalto.gov.br/ccivil_03/constituicao/constituicao.htm" TargetMode="External"/><Relationship Id="rId12" Type="http://schemas.openxmlformats.org/officeDocument/2006/relationships/hyperlink" Target="https://www.planalto.gov.br/ccivil_03/leis/l8080.htm" TargetMode="External"/><Relationship Id="rId13" Type="http://schemas.openxmlformats.org/officeDocument/2006/relationships/hyperlink" Target="https://www.planalto.gov.br/ccivil_03/_ato2011-2014/2011/decreto/d7508.htm" TargetMode="External"/><Relationship Id="rId14" Type="http://schemas.openxmlformats.org/officeDocument/2006/relationships/hyperlink" Target="https://www.planalto.gov.br/ccivil_03/_ato2011-2014/2012/lei/l12732.htm" TargetMode="External"/><Relationship Id="rId15" Type="http://schemas.openxmlformats.org/officeDocument/2006/relationships/hyperlink" Target="https://www.planalto.gov.br/ccivil_03/_ato2023-2026/2025/lei/l15233.htm" TargetMode="External"/><Relationship Id="rId16" Type="http://schemas.openxmlformats.org/officeDocument/2006/relationships/hyperlink" Target="https://www.planalto.gov.br/ccivil_03/_ato2023-2026/2026/lei/l15378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