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7365D"/>
          <w:sz w:val="56"/>
        </w:rPr>
        <w:t>MATRIZ COMPARATIVA</w:t>
      </w:r>
    </w:p>
    <w:p>
      <w:pPr>
        <w:jc w:val="center"/>
      </w:pPr>
      <w:r>
        <w:rPr>
          <w:b/>
          <w:color w:val="1F6D7A"/>
          <w:sz w:val="30"/>
        </w:rPr>
        <w:t>O que a legislação atual protege e o que a nova proposta acrescenta</w:t>
      </w:r>
    </w:p>
    <w:p>
      <w:pPr>
        <w:spacing w:before="1000"/>
        <w:jc w:val="center"/>
      </w:pPr>
      <w:r>
        <w:rPr>
          <w:i/>
          <w:sz w:val="24"/>
        </w:rPr>
        <w:t>Direito reconhecido + prazo definido + responsável identificado + solução alternativa</w:t>
      </w:r>
    </w:p>
    <w:p>
      <w:pPr>
        <w:spacing w:before="2000"/>
        <w:jc w:val="center"/>
      </w:pPr>
      <w:r>
        <w:rPr>
          <w:color w:val="666666"/>
          <w:sz w:val="20"/>
        </w:rPr>
        <w:t>Versão preliminar 0.1 — julho de 2026</w:t>
      </w:r>
    </w:p>
    <w:p>
      <w:r>
        <w:br w:type="page"/>
      </w:r>
    </w:p>
    <w:p>
      <w:pPr>
        <w:pStyle w:val="Heading1"/>
      </w:pPr>
      <w:r>
        <w:t>Leitura da matriz</w:t>
      </w:r>
    </w:p>
    <w:p>
      <w:r>
        <w:t>A matriz não afirma que a legislação atual seja insuficiente em sua totalidade. Ela identifica a função complementar da proposta: transformar princípios e direitos em mecanismos nacionais de entrega, acompanhamento e contingência.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7365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</w:rPr>
              <w:t>Tema</w:t>
            </w:r>
          </w:p>
        </w:tc>
        <w:tc>
          <w:tcPr>
            <w:tcW w:type="dxa" w:w="2484"/>
            <w:shd w:fill="17365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</w:rPr>
              <w:t>Proteção atual</w:t>
            </w:r>
          </w:p>
        </w:tc>
        <w:tc>
          <w:tcPr>
            <w:tcW w:type="dxa" w:w="2484"/>
            <w:shd w:fill="17365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</w:rPr>
              <w:t>Lacuna operacional recorrente</w:t>
            </w:r>
          </w:p>
        </w:tc>
        <w:tc>
          <w:tcPr>
            <w:tcW w:type="dxa" w:w="2484"/>
            <w:shd w:fill="17365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</w:rPr>
              <w:t>Acréscimo proposto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Direito à saúde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Constituição e Lei nº 8.080/1990 reconhecem direito e dever estatal.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Direito pode não vir acompanhado de prazo e solução individual.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Cadeia obrigatória de registro, prazo, responsável e alternativa.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Direitos do paciente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Lei nº 15.378/2026 assegura dignidade, informação, qualidade e tempo oportuno.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Tempo oportuno não possui parâmetros gerais para todos os serviços.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Categorias nacionais de prazo e revisão técnica periódica.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Atenção especializada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Programas ampliam oferta e monitoramento.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Programa pode ser temporário e não garantir cada demanda.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Garantia permanente, independente do programa vigente.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Oncologia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Lei nº 12.732/2012 estabelece prazos específicos.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Modelo não alcança a maioria dos demais serviços.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Expansão progressiva de parâmetros para outras necessidades.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Filas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Há sistemas locais e iniciativas de transparência.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Critérios e informações variam; histórico pode ser incompleto.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Fila rastreável com trilha de auditoria e vedações expressas.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Posição do usuário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Alguns sistemas oferecem posição ou estimativa.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Não há padrão nacional mínimo.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Posição/faixa, prioridade, previsão e justificativas.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Prazo vencido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Usuário pode reclamar, procurar ouvidoria ou Justiça.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Não há alternativa automática e uniforme.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Solução substitutiva sem novo pedido.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Conflito entre entes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SUS é descentralizado e regionalizado.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Usuário pode ser enviado de um ente a outro.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Porta de entrada responsável e acompanhamento contínuo.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Medicamentos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Há listas, protocolos e assistência farmacêutica.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Falta pode encerrar-se em informação negativa.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Busca de estoque, remanejamento, previsão e contingência.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Transparência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Leis de acesso e normas de saúde exigem publicidade.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Médias podem ocultar esperas extremas.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Média, mediana, máximo, percentis e pessoas acima do prazo.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Fiscalização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Órgãos de controle e conselhos atuam.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Resposta pode ocorrer tardiamente ou sem ciclo corretivo.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Plano de correção, apoio técnico e monitoramento público.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Responsabilização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Existem regimes administrativos, civis e penais.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Risco de punir quem não controla a estrutura ou não punir fraude.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Distinção entre estrutura, omissão, culpa grave, dolo e fraude.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Inclusão digital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Há expansão de serviços digitais.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Usuários sem internet podem ser excluídos.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Canais digital, telefônico e presencial.</w:t>
            </w:r>
          </w:p>
        </w:tc>
      </w:tr>
      <w:tr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Indicadores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Existem muitos indicadores assistenciais.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Falta índice focado na entrega das garantias.</w:t>
            </w:r>
          </w:p>
        </w:tc>
        <w:tc>
          <w:tcPr>
            <w:tcW w:type="dxa" w:w="2484"/>
            <w:tcMar>
              <w:top w:w="80" w:type="dxa"/>
              <w:start w:w="80" w:type="dxa"/>
              <w:bottom w:w="80" w:type="dxa"/>
              <w:end w:w="80" w:type="dxa"/>
            </w:tcMar>
            <w:vAlign w:val="top"/>
          </w:tcPr>
          <w:p>
            <w:r>
              <w:t>Índice Nacional de Garantia da Saúde — INGS.</w:t>
            </w:r>
          </w:p>
        </w:tc>
      </w:tr>
    </w:tbl>
    <w:p>
      <w:pPr>
        <w:pStyle w:val="Heading1"/>
      </w:pPr>
      <w:r>
        <w:t>Síntese da inovação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CE6F1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7365D"/>
                <w:sz w:val="22"/>
              </w:rPr>
              <w:t>Fórmula da proposta</w:t>
              <w:br/>
            </w:r>
            <w:r>
              <w:rPr>
                <w:sz w:val="21"/>
              </w:rPr>
              <w:t>Serviço mínimo + classificação clínica + prazo + fila rastreável + responsável + solução substitutiva + correção monitorada.</w:t>
            </w:r>
          </w:p>
        </w:tc>
      </w:tr>
    </w:tbl>
    <w:p/>
    <w:p>
      <w:r>
        <w:br w:type="page"/>
      </w:r>
    </w:p>
    <w:p>
      <w:pPr>
        <w:pStyle w:val="Heading1"/>
      </w:pPr>
      <w:r>
        <w:t>Referências normativas e institucionais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Constituição da República Federativa do Brasil de 1988</w:t>
        </w:r>
      </w:hyperlink>
    </w:p>
    <w:p>
      <w:pPr>
        <w:pStyle w:val="ListBullet"/>
      </w:pPr>
      <w:hyperlink r:id="rId12">
        <w:r>
          <w:rPr>
            <w:color w:val="0563C1"/>
            <w:u w:val="single"/>
          </w:rPr>
          <w:t>Lei nº 8.080, de 19 de setembro de 1990 — Lei Orgânica da Saúde</w:t>
        </w:r>
      </w:hyperlink>
    </w:p>
    <w:p>
      <w:pPr>
        <w:pStyle w:val="ListBullet"/>
      </w:pPr>
      <w:hyperlink r:id="rId13">
        <w:r>
          <w:rPr>
            <w:color w:val="0563C1"/>
            <w:u w:val="single"/>
          </w:rPr>
          <w:t>Decreto nº 7.508, de 28 de junho de 2011</w:t>
        </w:r>
      </w:hyperlink>
    </w:p>
    <w:p>
      <w:pPr>
        <w:pStyle w:val="ListBullet"/>
      </w:pPr>
      <w:hyperlink r:id="rId14">
        <w:r>
          <w:rPr>
            <w:color w:val="0563C1"/>
            <w:u w:val="single"/>
          </w:rPr>
          <w:t>Lei nº 12.732, de 22 de novembro de 2012 — prazos na atenção oncológica</w:t>
        </w:r>
      </w:hyperlink>
    </w:p>
    <w:p>
      <w:pPr>
        <w:pStyle w:val="ListBullet"/>
      </w:pPr>
      <w:hyperlink r:id="rId15">
        <w:r>
          <w:rPr>
            <w:color w:val="0563C1"/>
            <w:u w:val="single"/>
          </w:rPr>
          <w:t>Lei nº 15.233, de 7 de outubro de 2025 — Programa Agora Tem Especialistas</w:t>
        </w:r>
      </w:hyperlink>
    </w:p>
    <w:p>
      <w:pPr>
        <w:pStyle w:val="ListBullet"/>
      </w:pPr>
      <w:hyperlink r:id="rId16">
        <w:r>
          <w:rPr>
            <w:color w:val="0563C1"/>
            <w:u w:val="single"/>
          </w:rPr>
          <w:t>Lei nº 15.378, de 6 de abril de 2026 — Estatuto dos Direitos do Paciente</w:t>
        </w:r>
      </w:hyperlink>
    </w:p>
    <w:p>
      <w:r>
        <w:rPr>
          <w:b/>
        </w:rPr>
        <w:t xml:space="preserve">Nota técnica: </w:t>
      </w:r>
      <w:r>
        <w:t>o texto é uma proposta preliminar de iniciativa cidadã e deverá passar por revisão jurídica legislativa, análise de impacto orçamentário e adequação à técnica legislativa antes de sua apresentação formal.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666666"/>
        <w:sz w:val="16"/>
      </w:rPr>
      <w:t>PROJETO NACIONAL DE GARANTIA DO ACESSO ESSENCIAL À SAÚDE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b/>
      <w:i/>
      <w:iCs/>
      <w:color w:val="1F6D7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go">
    <w:name w:val="Artigo"/>
    <w:pPr>
      <w:spacing w:before="160" w:after="60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yperlink" Target="https://www.planalto.gov.br/ccivil_03/leis/l8080.htm" TargetMode="External"/><Relationship Id="rId13" Type="http://schemas.openxmlformats.org/officeDocument/2006/relationships/hyperlink" Target="https://www.planalto.gov.br/ccivil_03/_ato2011-2014/2011/decreto/d7508.htm" TargetMode="External"/><Relationship Id="rId14" Type="http://schemas.openxmlformats.org/officeDocument/2006/relationships/hyperlink" Target="https://www.planalto.gov.br/ccivil_03/_ato2011-2014/2012/lei/l12732.htm" TargetMode="External"/><Relationship Id="rId15" Type="http://schemas.openxmlformats.org/officeDocument/2006/relationships/hyperlink" Target="https://www.planalto.gov.br/ccivil_03/_ato2023-2026/2025/lei/l15233.htm" TargetMode="External"/><Relationship Id="rId16" Type="http://schemas.openxmlformats.org/officeDocument/2006/relationships/hyperlink" Target="https://www.planalto.gov.br/ccivil_03/_ato2023-2026/2026/lei/l1537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